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numPr>
          <w:ilvl w:val="0"/>
          <w:numId w:val="0"/>
        </w:numPr>
        <w:spacing w:after="0" w:afterLines="0"/>
        <w:jc w:val="center"/>
        <w:rPr>
          <w:rFonts w:ascii="微软雅黑" w:hAnsi="微软雅黑" w:eastAsia="微软雅黑"/>
          <w:sz w:val="30"/>
          <w:szCs w:val="30"/>
        </w:rPr>
      </w:pPr>
      <w:r>
        <w:rPr>
          <w:rFonts w:hint="eastAsia" w:ascii="微软雅黑" w:hAnsi="微软雅黑" w:eastAsia="微软雅黑"/>
          <w:sz w:val="30"/>
          <w:szCs w:val="30"/>
        </w:rPr>
        <w:t>第十二届全国大学生纺织贸易与商业策划创新能力大赛</w:t>
      </w:r>
    </w:p>
    <w:p>
      <w:pPr>
        <w:pStyle w:val="14"/>
        <w:numPr>
          <w:ilvl w:val="0"/>
          <w:numId w:val="0"/>
        </w:numPr>
        <w:spacing w:after="0" w:afterLines="0"/>
        <w:jc w:val="center"/>
        <w:rPr>
          <w:rFonts w:ascii="微软雅黑" w:hAnsi="微软雅黑" w:eastAsia="微软雅黑"/>
        </w:rPr>
      </w:pPr>
      <w:r>
        <w:rPr>
          <w:rFonts w:hint="eastAsia" w:ascii="微软雅黑" w:hAnsi="微软雅黑" w:eastAsia="微软雅黑"/>
        </w:rPr>
        <w:t>决赛细则</w:t>
      </w:r>
    </w:p>
    <w:p>
      <w:pPr>
        <w:pStyle w:val="14"/>
        <w:numPr>
          <w:ilvl w:val="0"/>
          <w:numId w:val="0"/>
        </w:numPr>
        <w:spacing w:after="0" w:afterLines="0"/>
        <w:jc w:val="center"/>
        <w:rPr>
          <w:rFonts w:ascii="微软雅黑" w:hAnsi="微软雅黑" w:eastAsia="微软雅黑"/>
        </w:rPr>
      </w:pPr>
    </w:p>
    <w:p>
      <w:pPr>
        <w:pStyle w:val="3"/>
        <w:tabs>
          <w:tab w:val="left" w:pos="2595"/>
        </w:tabs>
        <w:adjustRightInd w:val="0"/>
        <w:snapToGrid w:val="0"/>
        <w:spacing w:before="50" w:after="0" w:line="360" w:lineRule="auto"/>
        <w:jc w:val="center"/>
        <w:rPr>
          <w:rFonts w:ascii="仿宋" w:hAnsi="仿宋" w:eastAsia="仿宋"/>
          <w:sz w:val="24"/>
          <w:szCs w:val="24"/>
        </w:rPr>
      </w:pPr>
      <w:r>
        <w:rPr>
          <w:rFonts w:hint="eastAsia" w:ascii="仿宋" w:hAnsi="仿宋" w:eastAsia="仿宋"/>
          <w:sz w:val="24"/>
          <w:szCs w:val="24"/>
        </w:rPr>
        <w:t>一、竞赛方式</w:t>
      </w:r>
    </w:p>
    <w:p>
      <w:pPr>
        <w:spacing w:line="560" w:lineRule="exact"/>
        <w:ind w:firstLine="480" w:firstLineChars="200"/>
        <w:rPr>
          <w:rFonts w:ascii="仿宋" w:hAnsi="仿宋" w:eastAsia="仿宋"/>
          <w:sz w:val="24"/>
        </w:rPr>
      </w:pPr>
      <w:r>
        <w:rPr>
          <w:rFonts w:hint="eastAsia" w:ascii="仿宋" w:hAnsi="仿宋" w:eastAsia="仿宋"/>
          <w:sz w:val="24"/>
        </w:rPr>
        <w:t>决赛根据竞赛内容分成三个部分，综合理论（包括跨境电商与外贸跟单理论知识）、实务操作（包括跨境电商实务与外贸跟单实务比赛）、商业策划创新能力展示。</w:t>
      </w:r>
    </w:p>
    <w:p>
      <w:pPr>
        <w:spacing w:line="560" w:lineRule="exact"/>
        <w:ind w:firstLine="480" w:firstLineChars="200"/>
        <w:rPr>
          <w:rFonts w:ascii="仿宋" w:hAnsi="仿宋" w:eastAsia="仿宋"/>
          <w:sz w:val="24"/>
        </w:rPr>
      </w:pPr>
      <w:r>
        <w:rPr>
          <w:rFonts w:hint="eastAsia" w:ascii="仿宋" w:hAnsi="仿宋" w:eastAsia="仿宋"/>
          <w:sz w:val="24"/>
        </w:rPr>
        <w:t>决赛采取线上模式，分本科组与高职组，每支队伍由</w:t>
      </w:r>
      <w:r>
        <w:rPr>
          <w:rFonts w:ascii="仿宋" w:hAnsi="仿宋" w:eastAsia="仿宋"/>
          <w:sz w:val="24"/>
        </w:rPr>
        <w:t>3+N人组成，其中，3名选手参加综合理论和实务操作竞赛，N名选手参加商业策划创新能力展示竞赛，N名选手来自同一学校，不限专业，不限人数，代表本校参加商业策划创新能力展示的选手最高分记为本校商业策划创新能力展示部分的成绩。</w:t>
      </w:r>
    </w:p>
    <w:p>
      <w:pPr>
        <w:spacing w:line="560" w:lineRule="exact"/>
        <w:ind w:firstLine="480" w:firstLineChars="200"/>
        <w:rPr>
          <w:rFonts w:hint="default" w:ascii="仿宋" w:hAnsi="仿宋" w:eastAsia="仿宋"/>
          <w:sz w:val="24"/>
          <w:lang w:val="en-US" w:eastAsia="zh-CN"/>
        </w:rPr>
      </w:pPr>
      <w:r>
        <w:rPr>
          <w:rFonts w:hint="eastAsia" w:ascii="仿宋" w:hAnsi="仿宋" w:eastAsia="仿宋"/>
          <w:sz w:val="24"/>
        </w:rPr>
        <w:t>综合理论、实务操作</w:t>
      </w:r>
      <w:r>
        <w:rPr>
          <w:rFonts w:hint="eastAsia" w:ascii="仿宋" w:hAnsi="仿宋" w:eastAsia="仿宋"/>
          <w:sz w:val="24"/>
          <w:lang w:val="en-US" w:eastAsia="zh-CN"/>
        </w:rPr>
        <w:t>部分由参赛院校指导老师</w:t>
      </w:r>
      <w:r>
        <w:rPr>
          <w:rFonts w:hint="eastAsia" w:ascii="仿宋" w:hAnsi="仿宋" w:eastAsia="仿宋"/>
          <w:sz w:val="24"/>
        </w:rPr>
        <w:t>在远恒教</w:t>
      </w:r>
      <w:bookmarkStart w:id="6" w:name="_GoBack"/>
      <w:bookmarkEnd w:id="6"/>
      <w:r>
        <w:rPr>
          <w:rFonts w:hint="eastAsia" w:ascii="仿宋" w:hAnsi="仿宋" w:eastAsia="仿宋"/>
          <w:sz w:val="24"/>
        </w:rPr>
        <w:t>育服务云平台（https://edu.yhforever.com）</w:t>
      </w:r>
      <w:r>
        <w:rPr>
          <w:rFonts w:hint="eastAsia" w:ascii="仿宋" w:hAnsi="仿宋" w:eastAsia="仿宋"/>
          <w:sz w:val="24"/>
          <w:lang w:val="en-US" w:eastAsia="zh-CN"/>
        </w:rPr>
        <w:t>中登记录入参赛选手名单。</w:t>
      </w:r>
    </w:p>
    <w:p>
      <w:pPr>
        <w:spacing w:line="560" w:lineRule="exact"/>
        <w:ind w:firstLine="480" w:firstLineChars="200"/>
        <w:rPr>
          <w:rFonts w:ascii="仿宋" w:hAnsi="仿宋" w:eastAsia="仿宋"/>
          <w:sz w:val="24"/>
        </w:rPr>
      </w:pPr>
      <w:r>
        <w:rPr>
          <w:rFonts w:hint="eastAsia" w:ascii="仿宋" w:hAnsi="仿宋" w:eastAsia="仿宋"/>
          <w:sz w:val="24"/>
        </w:rPr>
        <w:t>商业</w:t>
      </w:r>
      <w:r>
        <w:rPr>
          <w:rFonts w:hint="eastAsia" w:ascii="仿宋" w:hAnsi="仿宋" w:eastAsia="仿宋"/>
          <w:sz w:val="24"/>
          <w:lang w:eastAsia="zh-Hans"/>
        </w:rPr>
        <w:t>能力展示“</w:t>
      </w:r>
      <w:r>
        <w:rPr>
          <w:rFonts w:hint="eastAsia" w:ascii="仿宋" w:hAnsi="仿宋" w:eastAsia="仿宋"/>
          <w:sz w:val="24"/>
        </w:rPr>
        <w:t>第一阶段”视频递交</w:t>
      </w:r>
      <w:r>
        <w:rPr>
          <w:rFonts w:hint="eastAsia" w:ascii="仿宋" w:hAnsi="仿宋" w:eastAsia="仿宋"/>
          <w:sz w:val="24"/>
          <w:lang w:eastAsia="zh-Hans"/>
        </w:rPr>
        <w:t>截止</w:t>
      </w:r>
      <w:r>
        <w:rPr>
          <w:rFonts w:hint="eastAsia" w:ascii="仿宋" w:hAnsi="仿宋" w:eastAsia="仿宋"/>
          <w:sz w:val="24"/>
        </w:rPr>
        <w:t>时间为2</w:t>
      </w:r>
      <w:r>
        <w:rPr>
          <w:rFonts w:ascii="仿宋" w:hAnsi="仿宋" w:eastAsia="仿宋"/>
          <w:sz w:val="24"/>
        </w:rPr>
        <w:t>022</w:t>
      </w:r>
      <w:r>
        <w:rPr>
          <w:rFonts w:hint="eastAsia" w:ascii="仿宋" w:hAnsi="仿宋" w:eastAsia="仿宋"/>
          <w:sz w:val="24"/>
        </w:rPr>
        <w:t>年1</w:t>
      </w:r>
      <w:r>
        <w:rPr>
          <w:rFonts w:ascii="仿宋" w:hAnsi="仿宋" w:eastAsia="仿宋"/>
          <w:sz w:val="24"/>
        </w:rPr>
        <w:t>0</w:t>
      </w:r>
      <w:r>
        <w:rPr>
          <w:rFonts w:hint="eastAsia" w:ascii="仿宋" w:hAnsi="仿宋" w:eastAsia="仿宋"/>
          <w:sz w:val="24"/>
        </w:rPr>
        <w:t>月21日</w:t>
      </w:r>
      <w:r>
        <w:rPr>
          <w:rFonts w:hint="eastAsia" w:ascii="仿宋" w:hAnsi="仿宋" w:eastAsia="仿宋"/>
          <w:sz w:val="24"/>
          <w:lang w:eastAsia="zh-Hans"/>
        </w:rPr>
        <w:t>下午</w:t>
      </w:r>
      <w:r>
        <w:rPr>
          <w:rFonts w:ascii="仿宋" w:hAnsi="仿宋" w:eastAsia="仿宋"/>
          <w:sz w:val="24"/>
          <w:lang w:eastAsia="zh-Hans"/>
        </w:rPr>
        <w:t>5</w:t>
      </w:r>
      <w:r>
        <w:rPr>
          <w:rFonts w:hint="eastAsia" w:ascii="仿宋" w:hAnsi="仿宋" w:eastAsia="仿宋"/>
          <w:sz w:val="24"/>
          <w:lang w:eastAsia="zh-Hans"/>
        </w:rPr>
        <w:t>点前（</w:t>
      </w:r>
      <w:r>
        <w:rPr>
          <w:rFonts w:hint="eastAsia" w:ascii="仿宋" w:hAnsi="仿宋" w:eastAsia="仿宋"/>
          <w:sz w:val="24"/>
        </w:rPr>
        <w:t>商赛选手登入</w:t>
      </w:r>
      <w:r>
        <w:rPr>
          <w:rFonts w:ascii="仿宋" w:hAnsi="仿宋" w:eastAsia="仿宋"/>
          <w:sz w:val="24"/>
        </w:rPr>
        <w:t>大赛官网http://www.ncvac.net</w:t>
      </w:r>
      <w:r>
        <w:rPr>
          <w:rFonts w:hint="eastAsia" w:ascii="仿宋" w:hAnsi="仿宋" w:eastAsia="仿宋"/>
          <w:sz w:val="24"/>
        </w:rPr>
        <w:t>点击登记上传；并查看</w:t>
      </w:r>
      <w:r>
        <w:rPr>
          <w:rFonts w:hint="eastAsia" w:ascii="仿宋" w:hAnsi="仿宋" w:eastAsia="仿宋" w:cs="仿宋"/>
          <w:sz w:val="24"/>
        </w:rPr>
        <w:t>商赛内容的</w:t>
      </w:r>
      <w:r>
        <w:rPr>
          <w:rFonts w:hint="eastAsia" w:ascii="仿宋" w:hAnsi="仿宋" w:eastAsia="仿宋" w:cs="仿宋"/>
          <w:color w:val="000000" w:themeColor="text1"/>
          <w:sz w:val="24"/>
          <w14:textFill>
            <w14:solidFill>
              <w14:schemeClr w14:val="tx1"/>
            </w14:solidFill>
          </w14:textFill>
        </w:rPr>
        <w:t>注意事项</w:t>
      </w:r>
      <w:r>
        <w:rPr>
          <w:rFonts w:hint="eastAsia" w:ascii="仿宋" w:hAnsi="仿宋" w:eastAsia="仿宋"/>
          <w:sz w:val="24"/>
          <w:lang w:eastAsia="zh-Hans"/>
        </w:rPr>
        <w:t>）；综合理论和实务操作线上决赛时间为</w:t>
      </w:r>
      <w:r>
        <w:rPr>
          <w:rFonts w:hint="eastAsia" w:ascii="仿宋" w:hAnsi="仿宋" w:eastAsia="仿宋"/>
          <w:sz w:val="24"/>
        </w:rPr>
        <w:t>2</w:t>
      </w:r>
      <w:r>
        <w:rPr>
          <w:rFonts w:ascii="仿宋" w:hAnsi="仿宋" w:eastAsia="仿宋"/>
          <w:sz w:val="24"/>
        </w:rPr>
        <w:t>022</w:t>
      </w:r>
      <w:r>
        <w:rPr>
          <w:rFonts w:hint="eastAsia" w:ascii="仿宋" w:hAnsi="仿宋" w:eastAsia="仿宋"/>
          <w:sz w:val="24"/>
        </w:rPr>
        <w:t>年1</w:t>
      </w:r>
      <w:r>
        <w:rPr>
          <w:rFonts w:ascii="仿宋" w:hAnsi="仿宋" w:eastAsia="仿宋"/>
          <w:sz w:val="24"/>
        </w:rPr>
        <w:t>1</w:t>
      </w:r>
      <w:r>
        <w:rPr>
          <w:rFonts w:hint="eastAsia" w:ascii="仿宋" w:hAnsi="仿宋" w:eastAsia="仿宋"/>
          <w:sz w:val="24"/>
        </w:rPr>
        <w:t>月</w:t>
      </w:r>
      <w:r>
        <w:rPr>
          <w:rFonts w:ascii="仿宋" w:hAnsi="仿宋" w:eastAsia="仿宋"/>
          <w:sz w:val="24"/>
        </w:rPr>
        <w:t>12</w:t>
      </w:r>
      <w:r>
        <w:rPr>
          <w:rFonts w:hint="eastAsia" w:ascii="仿宋" w:hAnsi="仿宋" w:eastAsia="仿宋"/>
          <w:sz w:val="24"/>
        </w:rPr>
        <w:t>日，商业策划</w:t>
      </w:r>
      <w:r>
        <w:rPr>
          <w:rFonts w:hint="eastAsia" w:ascii="仿宋" w:hAnsi="仿宋" w:eastAsia="仿宋"/>
          <w:sz w:val="24"/>
          <w:lang w:eastAsia="zh-Hans"/>
        </w:rPr>
        <w:t>创新能力展示</w:t>
      </w:r>
      <w:r>
        <w:rPr>
          <w:rFonts w:hint="eastAsia" w:ascii="仿宋" w:hAnsi="仿宋" w:eastAsia="仿宋"/>
          <w:sz w:val="24"/>
        </w:rPr>
        <w:t>时间为2</w:t>
      </w:r>
      <w:r>
        <w:rPr>
          <w:rFonts w:ascii="仿宋" w:hAnsi="仿宋" w:eastAsia="仿宋"/>
          <w:sz w:val="24"/>
        </w:rPr>
        <w:t>022</w:t>
      </w:r>
      <w:r>
        <w:rPr>
          <w:rFonts w:hint="eastAsia" w:ascii="仿宋" w:hAnsi="仿宋" w:eastAsia="仿宋"/>
          <w:sz w:val="24"/>
        </w:rPr>
        <w:t>年1</w:t>
      </w:r>
      <w:r>
        <w:rPr>
          <w:rFonts w:ascii="仿宋" w:hAnsi="仿宋" w:eastAsia="仿宋"/>
          <w:sz w:val="24"/>
        </w:rPr>
        <w:t>0</w:t>
      </w:r>
      <w:r>
        <w:rPr>
          <w:rFonts w:hint="eastAsia" w:ascii="仿宋" w:hAnsi="仿宋" w:eastAsia="仿宋"/>
          <w:sz w:val="24"/>
        </w:rPr>
        <w:t>月</w:t>
      </w:r>
      <w:r>
        <w:rPr>
          <w:rFonts w:ascii="仿宋" w:hAnsi="仿宋" w:eastAsia="仿宋"/>
          <w:sz w:val="24"/>
        </w:rPr>
        <w:t>21</w:t>
      </w:r>
      <w:r>
        <w:rPr>
          <w:rFonts w:hint="eastAsia" w:ascii="仿宋" w:hAnsi="仿宋" w:eastAsia="仿宋"/>
          <w:sz w:val="24"/>
        </w:rPr>
        <w:t>日</w:t>
      </w:r>
      <w:r>
        <w:rPr>
          <w:rFonts w:ascii="仿宋" w:hAnsi="仿宋" w:eastAsia="仿宋"/>
          <w:sz w:val="24"/>
        </w:rPr>
        <w:t>—2022</w:t>
      </w:r>
      <w:r>
        <w:rPr>
          <w:rFonts w:hint="eastAsia" w:ascii="仿宋" w:hAnsi="仿宋" w:eastAsia="仿宋"/>
          <w:sz w:val="24"/>
        </w:rPr>
        <w:t>年1</w:t>
      </w:r>
      <w:r>
        <w:rPr>
          <w:rFonts w:ascii="仿宋" w:hAnsi="仿宋" w:eastAsia="仿宋"/>
          <w:sz w:val="24"/>
        </w:rPr>
        <w:t>1</w:t>
      </w:r>
      <w:r>
        <w:rPr>
          <w:rFonts w:hint="eastAsia" w:ascii="仿宋" w:hAnsi="仿宋" w:eastAsia="仿宋"/>
          <w:sz w:val="24"/>
        </w:rPr>
        <w:t>月1</w:t>
      </w:r>
      <w:r>
        <w:rPr>
          <w:rFonts w:ascii="仿宋" w:hAnsi="仿宋" w:eastAsia="仿宋"/>
          <w:sz w:val="24"/>
        </w:rPr>
        <w:t>9</w:t>
      </w:r>
      <w:r>
        <w:rPr>
          <w:rFonts w:hint="eastAsia" w:ascii="仿宋" w:hAnsi="仿宋" w:eastAsia="仿宋"/>
          <w:sz w:val="24"/>
        </w:rPr>
        <w:t>日。最终排名公布时间为2</w:t>
      </w:r>
      <w:r>
        <w:rPr>
          <w:rFonts w:ascii="仿宋" w:hAnsi="仿宋" w:eastAsia="仿宋"/>
          <w:sz w:val="24"/>
        </w:rPr>
        <w:t>022</w:t>
      </w:r>
      <w:r>
        <w:rPr>
          <w:rFonts w:hint="eastAsia" w:ascii="仿宋" w:hAnsi="仿宋" w:eastAsia="仿宋"/>
          <w:sz w:val="24"/>
        </w:rPr>
        <w:t>年1</w:t>
      </w:r>
      <w:r>
        <w:rPr>
          <w:rFonts w:ascii="仿宋" w:hAnsi="仿宋" w:eastAsia="仿宋"/>
          <w:sz w:val="24"/>
        </w:rPr>
        <w:t>1</w:t>
      </w:r>
      <w:r>
        <w:rPr>
          <w:rFonts w:hint="eastAsia" w:ascii="仿宋" w:hAnsi="仿宋" w:eastAsia="仿宋"/>
          <w:sz w:val="24"/>
        </w:rPr>
        <w:t>月2</w:t>
      </w:r>
      <w:r>
        <w:rPr>
          <w:rFonts w:ascii="仿宋" w:hAnsi="仿宋" w:eastAsia="仿宋"/>
          <w:sz w:val="24"/>
        </w:rPr>
        <w:t>3</w:t>
      </w:r>
      <w:r>
        <w:rPr>
          <w:rFonts w:hint="eastAsia" w:ascii="仿宋" w:hAnsi="仿宋" w:eastAsia="仿宋"/>
          <w:sz w:val="24"/>
        </w:rPr>
        <w:t>日。</w:t>
      </w:r>
    </w:p>
    <w:p>
      <w:pPr>
        <w:widowControl/>
        <w:jc w:val="left"/>
        <w:rPr>
          <w:rFonts w:ascii="仿宋" w:hAnsi="仿宋" w:eastAsia="仿宋"/>
          <w:sz w:val="24"/>
        </w:rPr>
      </w:pPr>
      <w:r>
        <w:rPr>
          <w:rFonts w:ascii="仿宋" w:hAnsi="仿宋" w:eastAsia="仿宋"/>
          <w:sz w:val="24"/>
        </w:rPr>
        <w:br w:type="page"/>
      </w:r>
    </w:p>
    <w:p>
      <w:pPr>
        <w:spacing w:line="560" w:lineRule="exact"/>
        <w:rPr>
          <w:rFonts w:ascii="仿宋" w:hAnsi="仿宋" w:eastAsia="仿宋"/>
          <w:sz w:val="24"/>
        </w:rPr>
      </w:pPr>
      <w:r>
        <w:rPr>
          <w:rFonts w:hint="eastAsia" w:ascii="仿宋" w:hAnsi="仿宋" w:eastAsia="仿宋"/>
          <w:sz w:val="24"/>
        </w:rPr>
        <w:t>示意图如下：</w:t>
      </w:r>
    </w:p>
    <w:p>
      <w:pPr>
        <w:pStyle w:val="12"/>
        <w:spacing w:after="0" w:afterLines="0"/>
        <w:ind w:firstLine="0" w:firstLineChars="0"/>
        <w:jc w:val="center"/>
      </w:pPr>
      <w:r>
        <w:rPr>
          <w:sz w:val="28"/>
          <w:szCs w:val="28"/>
        </w:rPr>
        <w:drawing>
          <wp:inline distT="0" distB="0" distL="0" distR="0">
            <wp:extent cx="4965700" cy="3213100"/>
            <wp:effectExtent l="0" t="0" r="0" b="635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spacing w:line="560" w:lineRule="exact"/>
        <w:ind w:firstLine="480" w:firstLineChars="200"/>
        <w:rPr>
          <w:rFonts w:ascii="仿宋" w:hAnsi="仿宋" w:eastAsia="仿宋"/>
          <w:sz w:val="24"/>
        </w:rPr>
      </w:pPr>
      <w:r>
        <w:rPr>
          <w:rFonts w:hint="eastAsia" w:ascii="仿宋" w:hAnsi="仿宋" w:eastAsia="仿宋"/>
          <w:sz w:val="24"/>
        </w:rPr>
        <w:t>根据第一阶段的视频决出商业能力入围选手，组委会将在</w:t>
      </w:r>
      <w:r>
        <w:rPr>
          <w:rFonts w:ascii="仿宋" w:hAnsi="仿宋" w:eastAsia="仿宋"/>
          <w:sz w:val="24"/>
        </w:rPr>
        <w:t>10</w:t>
      </w:r>
      <w:r>
        <w:rPr>
          <w:rFonts w:hint="eastAsia" w:ascii="仿宋" w:hAnsi="仿宋" w:eastAsia="仿宋"/>
          <w:sz w:val="24"/>
        </w:rPr>
        <w:t>月3</w:t>
      </w:r>
      <w:r>
        <w:rPr>
          <w:rFonts w:ascii="仿宋" w:hAnsi="仿宋" w:eastAsia="仿宋"/>
          <w:sz w:val="24"/>
        </w:rPr>
        <w:t>1</w:t>
      </w:r>
      <w:r>
        <w:rPr>
          <w:rFonts w:hint="eastAsia" w:ascii="仿宋" w:hAnsi="仿宋" w:eastAsia="仿宋"/>
          <w:sz w:val="24"/>
        </w:rPr>
        <w:t>日在群内通知商赛选手获取相关决赛素材与指导文件。每位选手幕后都会有品牌方专业运维团队支撑，保障实战顺利进行。</w:t>
      </w:r>
      <w:r>
        <w:rPr>
          <w:rFonts w:ascii="仿宋" w:hAnsi="仿宋" w:eastAsia="仿宋"/>
          <w:sz w:val="24"/>
        </w:rPr>
        <w:t>11</w:t>
      </w:r>
      <w:r>
        <w:rPr>
          <w:rFonts w:hint="eastAsia" w:ascii="仿宋" w:hAnsi="仿宋" w:eastAsia="仿宋"/>
          <w:sz w:val="24"/>
        </w:rPr>
        <w:t>月</w:t>
      </w:r>
      <w:r>
        <w:rPr>
          <w:rFonts w:ascii="仿宋" w:hAnsi="仿宋" w:eastAsia="仿宋"/>
          <w:sz w:val="24"/>
        </w:rPr>
        <w:t>1</w:t>
      </w:r>
      <w:r>
        <w:rPr>
          <w:rFonts w:hint="eastAsia" w:ascii="仿宋" w:hAnsi="仿宋" w:eastAsia="仿宋"/>
          <w:sz w:val="24"/>
        </w:rPr>
        <w:t>日起为期1</w:t>
      </w:r>
      <w:r>
        <w:rPr>
          <w:rFonts w:ascii="仿宋" w:hAnsi="仿宋" w:eastAsia="仿宋"/>
          <w:sz w:val="24"/>
        </w:rPr>
        <w:t>8</w:t>
      </w:r>
      <w:r>
        <w:rPr>
          <w:rFonts w:hint="eastAsia" w:ascii="仿宋" w:hAnsi="仿宋" w:eastAsia="仿宋"/>
          <w:sz w:val="24"/>
        </w:rPr>
        <w:t>天的商业能力实战竞技赛将面向全国开放。</w:t>
      </w:r>
    </w:p>
    <w:p>
      <w:pPr>
        <w:spacing w:line="560" w:lineRule="exact"/>
        <w:ind w:firstLine="480" w:firstLineChars="200"/>
        <w:jc w:val="center"/>
        <w:rPr>
          <w:rFonts w:ascii="仿宋" w:hAnsi="仿宋" w:eastAsia="仿宋"/>
          <w:sz w:val="24"/>
        </w:rPr>
      </w:pPr>
      <w:r>
        <w:rPr>
          <w:rFonts w:hint="eastAsia" w:ascii="仿宋" w:hAnsi="仿宋" w:eastAsia="仿宋"/>
          <w:sz w:val="24"/>
        </w:rPr>
        <w:drawing>
          <wp:anchor distT="0" distB="0" distL="114300" distR="114300" simplePos="0" relativeHeight="251659264" behindDoc="0" locked="0" layoutInCell="1" allowOverlap="1">
            <wp:simplePos x="0" y="0"/>
            <wp:positionH relativeFrom="column">
              <wp:posOffset>1735455</wp:posOffset>
            </wp:positionH>
            <wp:positionV relativeFrom="paragraph">
              <wp:posOffset>304165</wp:posOffset>
            </wp:positionV>
            <wp:extent cx="1752600" cy="1600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52600" cy="1600200"/>
                    </a:xfrm>
                    <a:prstGeom prst="rect">
                      <a:avLst/>
                    </a:prstGeom>
                  </pic:spPr>
                </pic:pic>
              </a:graphicData>
            </a:graphic>
          </wp:anchor>
        </w:drawing>
      </w: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ind w:firstLine="3120" w:firstLineChars="1300"/>
        <w:rPr>
          <w:rFonts w:ascii="仿宋" w:hAnsi="仿宋" w:eastAsia="仿宋"/>
          <w:sz w:val="24"/>
        </w:rPr>
      </w:pPr>
      <w:r>
        <w:rPr>
          <w:rFonts w:hint="eastAsia" w:ascii="仿宋" w:hAnsi="仿宋" w:eastAsia="仿宋"/>
          <w:sz w:val="24"/>
        </w:rPr>
        <w:t>（商赛联系导师）</w:t>
      </w:r>
      <w:r>
        <w:rPr>
          <w:rFonts w:ascii="仿宋" w:hAnsi="仿宋" w:eastAsia="仿宋"/>
          <w:sz w:val="24"/>
        </w:rPr>
        <w:br w:type="page"/>
      </w:r>
    </w:p>
    <w:p>
      <w:pPr>
        <w:spacing w:line="560" w:lineRule="exact"/>
        <w:jc w:val="center"/>
        <w:rPr>
          <w:rFonts w:ascii="仿宋" w:hAnsi="仿宋" w:eastAsia="仿宋" w:cs="仿宋"/>
          <w:b/>
          <w:bCs/>
          <w:sz w:val="24"/>
        </w:rPr>
      </w:pPr>
      <w:r>
        <w:rPr>
          <w:rFonts w:hint="eastAsia" w:ascii="仿宋" w:hAnsi="仿宋" w:eastAsia="仿宋" w:cs="仿宋"/>
          <w:b/>
          <w:bCs/>
          <w:sz w:val="24"/>
          <w:lang w:eastAsia="zh-Hans"/>
        </w:rPr>
        <w:t>二、</w:t>
      </w:r>
      <w:r>
        <w:rPr>
          <w:rFonts w:hint="eastAsia" w:ascii="仿宋" w:hAnsi="仿宋" w:eastAsia="仿宋" w:cs="仿宋"/>
          <w:b/>
          <w:bCs/>
          <w:sz w:val="24"/>
        </w:rPr>
        <w:t>线上综合理论与实务操作考试注意事项</w:t>
      </w:r>
      <w:bookmarkStart w:id="0" w:name="_Toc71636964"/>
    </w:p>
    <w:p>
      <w:pPr>
        <w:pStyle w:val="14"/>
        <w:numPr>
          <w:ilvl w:val="0"/>
          <w:numId w:val="0"/>
        </w:numPr>
        <w:spacing w:after="0" w:afterLines="0"/>
      </w:pPr>
      <w:r>
        <w:t>1</w:t>
      </w:r>
      <w:r>
        <w:rPr>
          <w:rFonts w:hint="eastAsia"/>
          <w:lang w:eastAsia="zh-Hans"/>
        </w:rPr>
        <w:t>、</w:t>
      </w:r>
      <w:r>
        <w:rPr>
          <w:rFonts w:hint="eastAsia"/>
        </w:rPr>
        <w:t>选手须知</w:t>
      </w:r>
      <w:bookmarkEnd w:id="0"/>
    </w:p>
    <w:p>
      <w:pPr>
        <w:pStyle w:val="22"/>
        <w:numPr>
          <w:ilvl w:val="0"/>
          <w:numId w:val="3"/>
        </w:numPr>
        <w:spacing w:before="156" w:afterLines="0"/>
      </w:pPr>
      <w:bookmarkStart w:id="1" w:name="_Toc71636965"/>
      <w:r>
        <w:rPr>
          <w:rFonts w:hint="eastAsia"/>
        </w:rPr>
        <w:t>组委会</w:t>
      </w:r>
      <w:r>
        <w:t>统一</w:t>
      </w:r>
      <w:r>
        <w:rPr>
          <w:rFonts w:hint="eastAsia"/>
        </w:rPr>
        <w:t>对</w:t>
      </w:r>
      <w:r>
        <w:t>比赛用计算机及相关软件</w:t>
      </w:r>
      <w:r>
        <w:rPr>
          <w:rFonts w:hint="eastAsia"/>
        </w:rPr>
        <w:t>进行调试，</w:t>
      </w:r>
      <w:r>
        <w:t>草稿纸、笔</w:t>
      </w:r>
      <w:r>
        <w:rPr>
          <w:rFonts w:hint="eastAsia"/>
        </w:rPr>
        <w:t>由各参赛院校自行准备</w:t>
      </w:r>
      <w:r>
        <w:t>，其他的资料、工具一律不得带入赛场。</w:t>
      </w:r>
    </w:p>
    <w:p>
      <w:pPr>
        <w:pStyle w:val="22"/>
        <w:spacing w:before="156" w:afterLines="0"/>
      </w:pPr>
      <w:r>
        <w:t>选手提前30分钟抵达赛场，凭身份证、</w:t>
      </w:r>
      <w:r>
        <w:rPr>
          <w:rFonts w:hint="eastAsia"/>
        </w:rPr>
        <w:t>学生证、</w:t>
      </w:r>
      <w:r>
        <w:t>参赛证等</w:t>
      </w:r>
      <w:r>
        <w:rPr>
          <w:rFonts w:hint="eastAsia"/>
        </w:rPr>
        <w:t>符合</w:t>
      </w:r>
      <w:r>
        <w:t>规定</w:t>
      </w:r>
      <w:r>
        <w:rPr>
          <w:rFonts w:hint="eastAsia"/>
        </w:rPr>
        <w:t>的</w:t>
      </w:r>
      <w:r>
        <w:t>有效证件入座，并将相关证件放置在</w:t>
      </w:r>
      <w:r>
        <w:rPr>
          <w:rFonts w:hint="eastAsia"/>
        </w:rPr>
        <w:t>镜头前拍摄核验</w:t>
      </w:r>
      <w:r>
        <w:t>。</w:t>
      </w:r>
    </w:p>
    <w:p>
      <w:pPr>
        <w:pStyle w:val="22"/>
        <w:spacing w:before="156" w:afterLines="0"/>
      </w:pPr>
      <w:r>
        <w:t>选手禁止携带任何通讯设备及与竞赛无关的其他电子设备</w:t>
      </w:r>
      <w:r>
        <w:rPr>
          <w:rFonts w:hint="eastAsia"/>
        </w:rPr>
        <w:t>出现在考场</w:t>
      </w:r>
      <w:r>
        <w:t>。</w:t>
      </w:r>
    </w:p>
    <w:p>
      <w:pPr>
        <w:pStyle w:val="22"/>
        <w:spacing w:before="156" w:afterLines="0"/>
      </w:pPr>
      <w:r>
        <w:rPr>
          <w:rFonts w:hint="eastAsia"/>
        </w:rPr>
        <w:t>选手需提前登录系统，测试答题环境。</w:t>
      </w:r>
    </w:p>
    <w:p>
      <w:pPr>
        <w:pStyle w:val="22"/>
        <w:spacing w:before="156" w:afterLines="0"/>
      </w:pPr>
      <w:r>
        <w:t>比赛开始后，迟到15分钟的选手不得进入赛场，30分钟内选手不得交卷。</w:t>
      </w:r>
    </w:p>
    <w:p>
      <w:pPr>
        <w:pStyle w:val="22"/>
        <w:spacing w:before="156" w:afterLines="0"/>
      </w:pPr>
      <w:r>
        <w:rPr>
          <w:rFonts w:hint="eastAsia"/>
        </w:rPr>
        <w:t>比赛结束，系统自动</w:t>
      </w:r>
      <w:r>
        <w:t>交卷。各参赛选手将资料和工具整齐摆放在操作平台上，经工作人员</w:t>
      </w:r>
      <w:r>
        <w:rPr>
          <w:rFonts w:hint="eastAsia"/>
        </w:rPr>
        <w:t>确认后</w:t>
      </w:r>
      <w:r>
        <w:t>可以离开赛场。</w:t>
      </w:r>
    </w:p>
    <w:p>
      <w:pPr>
        <w:pStyle w:val="22"/>
        <w:numPr>
          <w:ilvl w:val="0"/>
          <w:numId w:val="0"/>
        </w:numPr>
        <w:adjustRightInd w:val="0"/>
        <w:spacing w:before="156" w:afterLines="0"/>
        <w:ind w:left="422" w:hanging="422" w:hangingChars="175"/>
        <w:rPr>
          <w:b/>
          <w:bCs/>
        </w:rPr>
      </w:pPr>
      <w:r>
        <w:rPr>
          <w:b/>
          <w:bCs/>
        </w:rPr>
        <w:t>2</w:t>
      </w:r>
      <w:r>
        <w:rPr>
          <w:rFonts w:hint="eastAsia"/>
          <w:b/>
          <w:bCs/>
          <w:lang w:eastAsia="zh-Hans"/>
        </w:rPr>
        <w:t>、</w:t>
      </w:r>
      <w:r>
        <w:rPr>
          <w:b/>
          <w:bCs/>
        </w:rPr>
        <w:t>赛场组织</w:t>
      </w:r>
      <w:bookmarkEnd w:id="1"/>
    </w:p>
    <w:p>
      <w:pPr>
        <w:pStyle w:val="3"/>
        <w:tabs>
          <w:tab w:val="left" w:pos="2595"/>
        </w:tabs>
        <w:adjustRightInd w:val="0"/>
        <w:snapToGrid w:val="0"/>
        <w:spacing w:before="50" w:after="0" w:line="360" w:lineRule="auto"/>
        <w:rPr>
          <w:rFonts w:ascii="仿宋" w:hAnsi="仿宋" w:eastAsia="仿宋"/>
          <w:sz w:val="24"/>
          <w:szCs w:val="24"/>
        </w:rPr>
      </w:pPr>
      <w:bookmarkStart w:id="2" w:name="_Toc71636966"/>
      <w:r>
        <w:rPr>
          <w:rFonts w:hint="eastAsia" w:ascii="仿宋" w:hAnsi="仿宋" w:eastAsia="仿宋"/>
          <w:sz w:val="24"/>
          <w:szCs w:val="24"/>
          <w:lang w:eastAsia="zh-Hans"/>
        </w:rPr>
        <w:t>·</w:t>
      </w:r>
      <w:r>
        <w:rPr>
          <w:rFonts w:hint="eastAsia" w:ascii="仿宋" w:hAnsi="仿宋" w:eastAsia="仿宋"/>
          <w:sz w:val="24"/>
          <w:szCs w:val="24"/>
        </w:rPr>
        <w:t>组织原则</w:t>
      </w:r>
      <w:bookmarkEnd w:id="2"/>
    </w:p>
    <w:p>
      <w:pPr>
        <w:adjustRightInd w:val="0"/>
        <w:snapToGrid w:val="0"/>
        <w:spacing w:before="156" w:beforeLines="50" w:line="360" w:lineRule="auto"/>
        <w:ind w:firstLine="420"/>
        <w:rPr>
          <w:rFonts w:ascii="仿宋" w:hAnsi="仿宋" w:eastAsia="仿宋" w:cs="Arial"/>
          <w:sz w:val="24"/>
        </w:rPr>
      </w:pPr>
      <w:r>
        <w:rPr>
          <w:rFonts w:hint="eastAsia" w:ascii="仿宋" w:hAnsi="仿宋" w:eastAsia="仿宋" w:cs="Arial"/>
          <w:sz w:val="24"/>
        </w:rPr>
        <w:t>赛场组织按照“统一要求，分区设置”的原则。各参赛院校（系）按赛场软硬件要求，设置赛场，并进行监考管理。</w:t>
      </w:r>
    </w:p>
    <w:p>
      <w:pPr>
        <w:pStyle w:val="3"/>
        <w:tabs>
          <w:tab w:val="left" w:pos="2595"/>
        </w:tabs>
        <w:adjustRightInd w:val="0"/>
        <w:snapToGrid w:val="0"/>
        <w:spacing w:before="50" w:after="0" w:line="360" w:lineRule="auto"/>
        <w:rPr>
          <w:rFonts w:ascii="仿宋" w:hAnsi="仿宋" w:eastAsia="仿宋"/>
          <w:sz w:val="24"/>
          <w:szCs w:val="24"/>
        </w:rPr>
      </w:pPr>
      <w:bookmarkStart w:id="3" w:name="_Toc71636967"/>
      <w:r>
        <w:rPr>
          <w:rFonts w:hint="eastAsia" w:ascii="仿宋" w:hAnsi="仿宋" w:eastAsia="仿宋"/>
          <w:sz w:val="24"/>
          <w:szCs w:val="24"/>
          <w:lang w:eastAsia="zh-Hans"/>
        </w:rPr>
        <w:t>·</w:t>
      </w:r>
      <w:r>
        <w:rPr>
          <w:rFonts w:hint="eastAsia" w:ascii="仿宋" w:hAnsi="仿宋" w:eastAsia="仿宋"/>
          <w:sz w:val="24"/>
          <w:szCs w:val="24"/>
        </w:rPr>
        <w:t>赛场硬件要求</w:t>
      </w:r>
      <w:bookmarkEnd w:id="3"/>
    </w:p>
    <w:p>
      <w:pPr>
        <w:pStyle w:val="22"/>
        <w:numPr>
          <w:ilvl w:val="0"/>
          <w:numId w:val="0"/>
        </w:numPr>
        <w:adjustRightInd w:val="0"/>
        <w:spacing w:before="156" w:afterLines="0"/>
      </w:pPr>
      <w:r>
        <w:rPr>
          <w:rFonts w:hint="eastAsia"/>
        </w:rPr>
        <w:t>1）各院校（系）赛场以计算机教室（机房）为基础设置。</w:t>
      </w:r>
    </w:p>
    <w:p>
      <w:pPr>
        <w:pStyle w:val="22"/>
        <w:numPr>
          <w:ilvl w:val="0"/>
          <w:numId w:val="0"/>
        </w:numPr>
        <w:adjustRightInd w:val="0"/>
        <w:spacing w:before="156" w:afterLines="0"/>
      </w:pPr>
      <w:r>
        <w:rPr>
          <w:rFonts w:hint="eastAsia"/>
        </w:rPr>
        <w:t>2）</w:t>
      </w:r>
      <w:r>
        <w:t xml:space="preserve"> </w:t>
      </w:r>
      <w:r>
        <w:rPr>
          <w:rFonts w:hint="eastAsia"/>
        </w:rPr>
        <w:t>每个机房的可用工位不少于</w:t>
      </w:r>
      <w:r>
        <w:t>6</w:t>
      </w:r>
      <w:r>
        <w:rPr>
          <w:rFonts w:hint="eastAsia"/>
        </w:rPr>
        <w:t>台（至少保证具有</w:t>
      </w:r>
      <w:r>
        <w:t>2-3</w:t>
      </w:r>
      <w:r>
        <w:rPr>
          <w:rFonts w:hint="eastAsia"/>
        </w:rPr>
        <w:t>台的备用工位）。</w:t>
      </w:r>
    </w:p>
    <w:p>
      <w:pPr>
        <w:pStyle w:val="22"/>
        <w:numPr>
          <w:ilvl w:val="0"/>
          <w:numId w:val="0"/>
        </w:numPr>
        <w:adjustRightInd w:val="0"/>
        <w:spacing w:before="156" w:afterLines="0"/>
      </w:pPr>
      <w:r>
        <w:rPr>
          <w:rFonts w:hint="eastAsia"/>
        </w:rPr>
        <w:t>3）赛场需具备外网（互联网）连接，可以通过互联网访问竞赛服务。并具备管理管理功能，管理访问黑白名单。</w:t>
      </w:r>
    </w:p>
    <w:p>
      <w:pPr>
        <w:pStyle w:val="22"/>
        <w:numPr>
          <w:ilvl w:val="0"/>
          <w:numId w:val="0"/>
        </w:numPr>
        <w:adjustRightInd w:val="0"/>
        <w:spacing w:before="156" w:afterLines="0"/>
      </w:pPr>
      <w:r>
        <w:rPr>
          <w:rFonts w:hint="eastAsia"/>
        </w:rPr>
        <w:t>4）赛场原则上需具备实时监控功能，竞赛过程全程监控录像，相关监控视频至少保存1个月。</w:t>
      </w:r>
    </w:p>
    <w:p>
      <w:pPr>
        <w:pStyle w:val="22"/>
        <w:numPr>
          <w:ilvl w:val="0"/>
          <w:numId w:val="0"/>
        </w:numPr>
        <w:adjustRightInd w:val="0"/>
        <w:spacing w:before="156" w:afterLines="0"/>
      </w:pPr>
      <w:r>
        <w:rPr>
          <w:rFonts w:hint="eastAsia"/>
        </w:rPr>
        <w:t>5）相关计算机软硬件要求，参见下表“赛场计算机要求”。</w:t>
      </w:r>
    </w:p>
    <w:p>
      <w:pPr>
        <w:pStyle w:val="3"/>
        <w:tabs>
          <w:tab w:val="left" w:pos="2595"/>
        </w:tabs>
        <w:adjustRightInd w:val="0"/>
        <w:snapToGrid w:val="0"/>
        <w:spacing w:before="50" w:after="0" w:line="360" w:lineRule="auto"/>
        <w:rPr>
          <w:rFonts w:ascii="仿宋" w:hAnsi="仿宋" w:eastAsia="仿宋"/>
          <w:sz w:val="24"/>
          <w:szCs w:val="24"/>
        </w:rPr>
      </w:pPr>
      <w:bookmarkStart w:id="4" w:name="_Toc71636968"/>
      <w:r>
        <w:rPr>
          <w:rFonts w:hint="eastAsia" w:ascii="仿宋" w:hAnsi="仿宋" w:eastAsia="仿宋"/>
          <w:sz w:val="24"/>
          <w:szCs w:val="24"/>
          <w:lang w:eastAsia="zh-Hans"/>
        </w:rPr>
        <w:t>·</w:t>
      </w:r>
      <w:r>
        <w:rPr>
          <w:rFonts w:hint="eastAsia" w:ascii="仿宋" w:hAnsi="仿宋" w:eastAsia="仿宋"/>
          <w:sz w:val="24"/>
          <w:szCs w:val="24"/>
        </w:rPr>
        <w:t>赛场计算机要求</w:t>
      </w:r>
      <w:bookmarkEnd w:id="4"/>
    </w:p>
    <w:tbl>
      <w:tblPr>
        <w:tblStyle w:val="8"/>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407"/>
        <w:gridCol w:w="2700"/>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4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软/硬件名称</w:t>
            </w:r>
          </w:p>
        </w:tc>
        <w:tc>
          <w:tcPr>
            <w:tcW w:w="2700"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基本配置</w:t>
            </w:r>
          </w:p>
        </w:tc>
        <w:tc>
          <w:tcPr>
            <w:tcW w:w="2759" w:type="dxa"/>
            <w:shd w:val="clear" w:color="auto" w:fill="auto"/>
            <w:vAlign w:val="center"/>
          </w:tcPr>
          <w:p>
            <w:pPr>
              <w:adjustRightInd w:val="0"/>
              <w:snapToGrid w:val="0"/>
              <w:spacing w:before="156" w:beforeLines="50" w:line="360" w:lineRule="auto"/>
              <w:ind w:firstLine="360"/>
              <w:jc w:val="center"/>
              <w:rPr>
                <w:rFonts w:ascii="仿宋" w:hAnsi="仿宋" w:eastAsia="仿宋"/>
                <w:sz w:val="20"/>
                <w:szCs w:val="18"/>
              </w:rPr>
            </w:pPr>
            <w:r>
              <w:rPr>
                <w:rFonts w:hint="eastAsia" w:ascii="仿宋" w:hAnsi="仿宋" w:eastAsia="仿宋"/>
                <w:sz w:val="20"/>
                <w:szCs w:val="18"/>
              </w:rPr>
              <w:t>推荐配置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硬件需求</w:t>
            </w: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CPU</w:t>
            </w:r>
          </w:p>
        </w:tc>
        <w:tc>
          <w:tcPr>
            <w:tcW w:w="2700"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Intel 双核 2.0GHz 以上</w:t>
            </w:r>
          </w:p>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或者同等处理器</w:t>
            </w:r>
          </w:p>
        </w:tc>
        <w:tc>
          <w:tcPr>
            <w:tcW w:w="2759"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Intel酷睿i</w:t>
            </w:r>
            <w:r>
              <w:rPr>
                <w:rFonts w:ascii="仿宋" w:hAnsi="仿宋" w:eastAsia="仿宋"/>
                <w:sz w:val="20"/>
                <w:szCs w:val="18"/>
              </w:rPr>
              <w:t>5</w:t>
            </w:r>
            <w:r>
              <w:rPr>
                <w:rFonts w:hint="eastAsia" w:ascii="仿宋" w:hAnsi="仿宋" w:eastAsia="仿宋"/>
                <w:sz w:val="20"/>
                <w:szCs w:val="18"/>
              </w:rPr>
              <w:t xml:space="preserve"> 以上或者同等处理器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47" w:type="dxa"/>
            <w:vMerge w:val="continue"/>
            <w:shd w:val="clear" w:color="auto" w:fill="auto"/>
            <w:vAlign w:val="center"/>
          </w:tcPr>
          <w:p>
            <w:pPr>
              <w:adjustRightInd w:val="0"/>
              <w:snapToGrid w:val="0"/>
              <w:spacing w:before="156" w:beforeLines="50" w:line="360" w:lineRule="auto"/>
              <w:ind w:firstLine="360"/>
              <w:jc w:val="center"/>
              <w:rPr>
                <w:rFonts w:ascii="仿宋" w:hAnsi="仿宋" w:eastAsia="仿宋"/>
                <w:sz w:val="20"/>
                <w:szCs w:val="18"/>
              </w:rPr>
            </w:pP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物理内存</w:t>
            </w:r>
          </w:p>
        </w:tc>
        <w:tc>
          <w:tcPr>
            <w:tcW w:w="2700"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4G内存</w:t>
            </w:r>
          </w:p>
        </w:tc>
        <w:tc>
          <w:tcPr>
            <w:tcW w:w="2759"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8G内存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auto"/>
            <w:vAlign w:val="center"/>
          </w:tcPr>
          <w:p>
            <w:pPr>
              <w:adjustRightInd w:val="0"/>
              <w:snapToGrid w:val="0"/>
              <w:spacing w:before="156" w:beforeLines="50" w:line="360" w:lineRule="auto"/>
              <w:ind w:firstLine="360"/>
              <w:jc w:val="center"/>
              <w:rPr>
                <w:rFonts w:ascii="仿宋" w:hAnsi="仿宋" w:eastAsia="仿宋"/>
                <w:sz w:val="20"/>
                <w:szCs w:val="18"/>
              </w:rPr>
            </w:pP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磁盘空间</w:t>
            </w:r>
          </w:p>
        </w:tc>
        <w:tc>
          <w:tcPr>
            <w:tcW w:w="5459" w:type="dxa"/>
            <w:gridSpan w:val="2"/>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5</w:t>
            </w:r>
            <w:r>
              <w:rPr>
                <w:rFonts w:hint="eastAsia" w:ascii="仿宋" w:hAnsi="仿宋" w:eastAsia="仿宋"/>
                <w:sz w:val="20"/>
                <w:szCs w:val="18"/>
              </w:rPr>
              <w:t>0G可用磁盘空间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auto"/>
            <w:vAlign w:val="center"/>
          </w:tcPr>
          <w:p>
            <w:pPr>
              <w:adjustRightInd w:val="0"/>
              <w:snapToGrid w:val="0"/>
              <w:spacing w:before="156" w:beforeLines="50" w:line="360" w:lineRule="auto"/>
              <w:ind w:firstLine="360"/>
              <w:jc w:val="center"/>
              <w:rPr>
                <w:rFonts w:ascii="仿宋" w:hAnsi="仿宋" w:eastAsia="仿宋"/>
                <w:sz w:val="20"/>
                <w:szCs w:val="18"/>
              </w:rPr>
            </w:pP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显卡</w:t>
            </w:r>
          </w:p>
        </w:tc>
        <w:tc>
          <w:tcPr>
            <w:tcW w:w="2700"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2GB以上显存</w:t>
            </w:r>
          </w:p>
        </w:tc>
        <w:tc>
          <w:tcPr>
            <w:tcW w:w="2759"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Nvidia GTX760系列以上或同等独立显卡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auto"/>
            <w:vAlign w:val="center"/>
          </w:tcPr>
          <w:p>
            <w:pPr>
              <w:adjustRightInd w:val="0"/>
              <w:snapToGrid w:val="0"/>
              <w:spacing w:before="156" w:beforeLines="50" w:line="360" w:lineRule="auto"/>
              <w:ind w:firstLine="360"/>
              <w:jc w:val="center"/>
              <w:rPr>
                <w:rFonts w:ascii="仿宋" w:hAnsi="仿宋" w:eastAsia="仿宋"/>
                <w:sz w:val="18"/>
                <w:szCs w:val="18"/>
              </w:rPr>
            </w:pP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屏幕分辨率</w:t>
            </w:r>
          </w:p>
        </w:tc>
        <w:tc>
          <w:tcPr>
            <w:tcW w:w="5459" w:type="dxa"/>
            <w:gridSpan w:val="2"/>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1</w:t>
            </w:r>
            <w:r>
              <w:rPr>
                <w:rFonts w:hint="eastAsia" w:ascii="仿宋" w:hAnsi="仿宋" w:eastAsia="仿宋"/>
                <w:sz w:val="20"/>
                <w:szCs w:val="18"/>
              </w:rPr>
              <w:t>280</w:t>
            </w:r>
            <w:r>
              <w:rPr>
                <w:rFonts w:ascii="仿宋" w:hAnsi="仿宋" w:eastAsia="仿宋"/>
                <w:sz w:val="20"/>
                <w:szCs w:val="18"/>
              </w:rPr>
              <w:t>×</w:t>
            </w:r>
            <w:r>
              <w:rPr>
                <w:rFonts w:hint="eastAsia" w:ascii="仿宋" w:hAnsi="仿宋" w:eastAsia="仿宋"/>
                <w:sz w:val="20"/>
                <w:szCs w:val="18"/>
              </w:rPr>
              <w:t>960</w:t>
            </w:r>
            <w:r>
              <w:rPr>
                <w:rFonts w:ascii="仿宋" w:hAnsi="仿宋" w:eastAsia="仿宋"/>
                <w:sz w:val="20"/>
                <w:szCs w:val="18"/>
              </w:rPr>
              <w:t>以上</w:t>
            </w:r>
            <w:r>
              <w:rPr>
                <w:rFonts w:hint="eastAsia" w:ascii="仿宋" w:hAnsi="仿宋" w:eastAsia="仿宋"/>
                <w:sz w:val="20"/>
                <w:szCs w:val="18"/>
              </w:rPr>
              <w:t>物理分辨率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auto"/>
            <w:vAlign w:val="center"/>
          </w:tcPr>
          <w:p>
            <w:pPr>
              <w:adjustRightInd w:val="0"/>
              <w:snapToGrid w:val="0"/>
              <w:spacing w:before="156" w:beforeLines="50" w:line="360" w:lineRule="auto"/>
              <w:ind w:firstLine="360"/>
              <w:jc w:val="center"/>
              <w:rPr>
                <w:rFonts w:ascii="仿宋" w:hAnsi="仿宋" w:eastAsia="仿宋"/>
                <w:sz w:val="18"/>
                <w:szCs w:val="18"/>
              </w:rPr>
            </w:pP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网络</w:t>
            </w:r>
          </w:p>
        </w:tc>
        <w:tc>
          <w:tcPr>
            <w:tcW w:w="5459" w:type="dxa"/>
            <w:gridSpan w:val="2"/>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具备互联网连接</w:t>
            </w:r>
            <w:r>
              <w:rPr>
                <w:rFonts w:hint="eastAsia" w:ascii="仿宋" w:hAnsi="仿宋" w:eastAsia="仿宋"/>
                <w:sz w:val="20"/>
                <w:szCs w:val="18"/>
              </w:rPr>
              <w:t>，保证每台学生机平均带宽不少于2Mbps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软件需求</w:t>
            </w: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操作系统</w:t>
            </w:r>
          </w:p>
        </w:tc>
        <w:tc>
          <w:tcPr>
            <w:tcW w:w="5459" w:type="dxa"/>
            <w:gridSpan w:val="2"/>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Microsoft Win7</w:t>
            </w:r>
            <w:r>
              <w:rPr>
                <w:rFonts w:hint="eastAsia" w:ascii="仿宋" w:hAnsi="仿宋" w:eastAsia="仿宋"/>
                <w:sz w:val="20"/>
                <w:szCs w:val="18"/>
              </w:rPr>
              <w:t>及以上</w:t>
            </w:r>
            <w:r>
              <w:rPr>
                <w:rFonts w:ascii="仿宋" w:hAnsi="仿宋" w:eastAsia="仿宋"/>
                <w:sz w:val="20"/>
                <w:szCs w:val="18"/>
              </w:rPr>
              <w:t>各版本操作系统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47" w:type="dxa"/>
            <w:vMerge w:val="continue"/>
            <w:shd w:val="clear" w:color="auto" w:fill="auto"/>
            <w:vAlign w:val="center"/>
          </w:tcPr>
          <w:p>
            <w:pPr>
              <w:adjustRightInd w:val="0"/>
              <w:snapToGrid w:val="0"/>
              <w:spacing w:before="156" w:beforeLines="50" w:line="360" w:lineRule="auto"/>
              <w:ind w:firstLine="360"/>
              <w:jc w:val="center"/>
              <w:rPr>
                <w:rFonts w:ascii="仿宋" w:hAnsi="仿宋" w:eastAsia="仿宋"/>
                <w:sz w:val="20"/>
                <w:szCs w:val="18"/>
              </w:rPr>
            </w:pP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浏览器</w:t>
            </w:r>
          </w:p>
        </w:tc>
        <w:tc>
          <w:tcPr>
            <w:tcW w:w="5459" w:type="dxa"/>
            <w:gridSpan w:val="2"/>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Chrome 浏览器 (Ver</w:t>
            </w:r>
            <w:r>
              <w:rPr>
                <w:rFonts w:ascii="仿宋" w:hAnsi="仿宋" w:eastAsia="仿宋"/>
                <w:sz w:val="20"/>
                <w:szCs w:val="18"/>
              </w:rPr>
              <w:t>8</w:t>
            </w:r>
            <w:r>
              <w:rPr>
                <w:rFonts w:hint="eastAsia" w:ascii="仿宋" w:hAnsi="仿宋" w:eastAsia="仿宋"/>
                <w:sz w:val="20"/>
                <w:szCs w:val="18"/>
              </w:rPr>
              <w:t>0以上版本)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auto"/>
            <w:vAlign w:val="center"/>
          </w:tcPr>
          <w:p>
            <w:pPr>
              <w:adjustRightInd w:val="0"/>
              <w:snapToGrid w:val="0"/>
              <w:spacing w:before="156" w:beforeLines="50" w:line="360" w:lineRule="auto"/>
              <w:ind w:firstLine="360"/>
              <w:jc w:val="center"/>
              <w:rPr>
                <w:rFonts w:ascii="仿宋" w:hAnsi="仿宋" w:eastAsia="仿宋"/>
                <w:sz w:val="20"/>
                <w:szCs w:val="18"/>
              </w:rPr>
            </w:pPr>
          </w:p>
        </w:tc>
        <w:tc>
          <w:tcPr>
            <w:tcW w:w="1407" w:type="dxa"/>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应用软件</w:t>
            </w:r>
          </w:p>
        </w:tc>
        <w:tc>
          <w:tcPr>
            <w:tcW w:w="5459" w:type="dxa"/>
            <w:gridSpan w:val="2"/>
            <w:shd w:val="clear" w:color="auto" w:fill="auto"/>
            <w:vAlign w:val="center"/>
          </w:tcPr>
          <w:p>
            <w:pPr>
              <w:adjustRightInd w:val="0"/>
              <w:snapToGrid w:val="0"/>
              <w:spacing w:before="156" w:beforeLines="50" w:line="360" w:lineRule="auto"/>
              <w:jc w:val="center"/>
              <w:rPr>
                <w:rFonts w:ascii="仿宋" w:hAnsi="仿宋" w:eastAsia="仿宋"/>
                <w:sz w:val="20"/>
                <w:szCs w:val="18"/>
              </w:rPr>
            </w:pPr>
            <w:r>
              <w:rPr>
                <w:rFonts w:ascii="仿宋" w:hAnsi="仿宋" w:eastAsia="仿宋"/>
                <w:sz w:val="20"/>
                <w:szCs w:val="18"/>
              </w:rPr>
              <w:t>Microsoft Office</w:t>
            </w:r>
            <w:r>
              <w:rPr>
                <w:rFonts w:hint="eastAsia" w:ascii="仿宋" w:hAnsi="仿宋" w:eastAsia="仿宋"/>
                <w:sz w:val="20"/>
                <w:szCs w:val="18"/>
              </w:rPr>
              <w:t xml:space="preserve"> 2007以上版本</w:t>
            </w:r>
            <w:r>
              <w:rPr>
                <w:rFonts w:ascii="仿宋" w:hAnsi="仿宋" w:eastAsia="仿宋"/>
                <w:sz w:val="20"/>
                <w:szCs w:val="18"/>
              </w:rPr>
              <w:t>办公软件</w:t>
            </w:r>
          </w:p>
          <w:p>
            <w:pPr>
              <w:adjustRightInd w:val="0"/>
              <w:snapToGrid w:val="0"/>
              <w:spacing w:before="156" w:beforeLines="50" w:line="360" w:lineRule="auto"/>
              <w:jc w:val="center"/>
              <w:rPr>
                <w:rFonts w:ascii="仿宋" w:hAnsi="仿宋" w:eastAsia="仿宋"/>
                <w:sz w:val="20"/>
                <w:szCs w:val="18"/>
              </w:rPr>
            </w:pPr>
            <w:r>
              <w:rPr>
                <w:rFonts w:hint="eastAsia" w:ascii="仿宋" w:hAnsi="仿宋" w:eastAsia="仿宋"/>
                <w:sz w:val="20"/>
                <w:szCs w:val="18"/>
              </w:rPr>
              <w:t>Adobe Reader X 以上版本的PDF阅读器</w:t>
            </w:r>
          </w:p>
        </w:tc>
      </w:tr>
    </w:tbl>
    <w:p>
      <w:pPr>
        <w:pStyle w:val="3"/>
        <w:tabs>
          <w:tab w:val="left" w:pos="2595"/>
        </w:tabs>
        <w:adjustRightInd w:val="0"/>
        <w:snapToGrid w:val="0"/>
        <w:spacing w:before="50" w:after="0" w:line="360" w:lineRule="auto"/>
        <w:rPr>
          <w:rFonts w:ascii="仿宋" w:hAnsi="仿宋" w:eastAsia="仿宋"/>
          <w:sz w:val="24"/>
          <w:szCs w:val="24"/>
        </w:rPr>
      </w:pPr>
      <w:bookmarkStart w:id="5" w:name="_Toc71636969"/>
    </w:p>
    <w:p>
      <w:pPr>
        <w:pStyle w:val="3"/>
        <w:tabs>
          <w:tab w:val="left" w:pos="2595"/>
        </w:tabs>
        <w:adjustRightInd w:val="0"/>
        <w:snapToGrid w:val="0"/>
        <w:spacing w:before="50" w:after="0" w:line="360" w:lineRule="auto"/>
        <w:rPr>
          <w:rFonts w:ascii="仿宋" w:hAnsi="仿宋" w:eastAsia="仿宋"/>
          <w:sz w:val="24"/>
          <w:szCs w:val="24"/>
        </w:rPr>
      </w:pPr>
      <w:r>
        <w:rPr>
          <w:rFonts w:hint="eastAsia" w:ascii="仿宋" w:hAnsi="仿宋" w:eastAsia="仿宋"/>
          <w:sz w:val="24"/>
          <w:szCs w:val="24"/>
          <w:lang w:eastAsia="zh-Hans"/>
        </w:rPr>
        <w:t>·</w:t>
      </w:r>
      <w:r>
        <w:rPr>
          <w:rFonts w:hint="eastAsia" w:ascii="仿宋" w:hAnsi="仿宋" w:eastAsia="仿宋"/>
          <w:sz w:val="24"/>
          <w:szCs w:val="24"/>
        </w:rPr>
        <w:t>赛场管理</w:t>
      </w:r>
      <w:bookmarkEnd w:id="5"/>
    </w:p>
    <w:p>
      <w:pPr>
        <w:adjustRightInd w:val="0"/>
        <w:snapToGrid w:val="0"/>
        <w:spacing w:before="156" w:beforeLines="50" w:line="360" w:lineRule="auto"/>
        <w:ind w:firstLine="480" w:firstLineChars="200"/>
        <w:rPr>
          <w:rFonts w:ascii="仿宋" w:hAnsi="仿宋" w:eastAsia="仿宋" w:cs="Arial"/>
          <w:sz w:val="24"/>
        </w:rPr>
      </w:pPr>
      <w:r>
        <w:rPr>
          <w:rFonts w:hint="eastAsia" w:ascii="仿宋" w:hAnsi="仿宋" w:eastAsia="仿宋" w:cs="Arial"/>
          <w:sz w:val="24"/>
        </w:rPr>
        <w:t>各院校按照上述软硬件要求，独立设置比赛赛场，赛场由一个机房组成，并在</w:t>
      </w:r>
      <w:r>
        <w:rPr>
          <w:rFonts w:hint="eastAsia" w:ascii="仿宋" w:hAnsi="仿宋" w:eastAsia="仿宋" w:cs="Arial"/>
          <w:b/>
          <w:bCs/>
          <w:sz w:val="24"/>
        </w:rPr>
        <w:t>机房外</w:t>
      </w:r>
      <w:r>
        <w:rPr>
          <w:rFonts w:hint="eastAsia" w:ascii="仿宋" w:hAnsi="仿宋" w:eastAsia="仿宋" w:cs="Arial"/>
          <w:sz w:val="24"/>
        </w:rPr>
        <w:t>配备随考人员。随考人员由参赛院校推荐，经组委会确认产生。随考人员应秉承公平公正的原则落实取景规范，不得与参赛选手交流。</w:t>
      </w:r>
    </w:p>
    <w:p>
      <w:pPr>
        <w:adjustRightInd w:val="0"/>
        <w:snapToGrid w:val="0"/>
        <w:spacing w:before="156" w:beforeLines="50" w:line="360" w:lineRule="auto"/>
        <w:ind w:firstLine="480" w:firstLineChars="200"/>
        <w:rPr>
          <w:rFonts w:ascii="仿宋" w:hAnsi="仿宋" w:eastAsia="仿宋" w:cs="Arial"/>
          <w:sz w:val="24"/>
        </w:rPr>
      </w:pPr>
      <w:r>
        <w:rPr>
          <w:rFonts w:hint="eastAsia" w:ascii="仿宋" w:hAnsi="仿宋" w:eastAsia="仿宋" w:cs="Arial"/>
          <w:sz w:val="24"/>
        </w:rPr>
        <w:t>每个机房除参赛学生之外，机房视频拍摄区内不可出现其他人员，参赛学生座位需分隔一定距离，竞赛期间不可交头接耳，左顾右盼，主委会远程线上监考。</w:t>
      </w:r>
    </w:p>
    <w:p>
      <w:pPr>
        <w:adjustRightInd w:val="0"/>
        <w:snapToGrid w:val="0"/>
        <w:spacing w:before="156" w:beforeLines="50" w:line="360" w:lineRule="auto"/>
        <w:ind w:firstLine="480" w:firstLineChars="200"/>
        <w:rPr>
          <w:rFonts w:ascii="仿宋" w:hAnsi="仿宋" w:eastAsia="仿宋" w:cs="Arial"/>
          <w:sz w:val="24"/>
        </w:rPr>
      </w:pPr>
      <w:r>
        <w:rPr>
          <w:rFonts w:hint="eastAsia" w:ascii="仿宋" w:hAnsi="仿宋" w:eastAsia="仿宋" w:cs="Arial"/>
          <w:sz w:val="24"/>
        </w:rPr>
        <w:t>监控摄像头需取到参赛学生的全部身影，且摄像头取景区域不可出现任何其他人员。考试过程中需多开放</w:t>
      </w:r>
      <w:r>
        <w:rPr>
          <w:rFonts w:ascii="仿宋" w:hAnsi="仿宋" w:eastAsia="仿宋" w:cs="Arial"/>
          <w:sz w:val="24"/>
        </w:rPr>
        <w:t>2-3</w:t>
      </w:r>
      <w:r>
        <w:rPr>
          <w:rFonts w:hint="eastAsia" w:ascii="仿宋" w:hAnsi="仿宋" w:eastAsia="仿宋" w:cs="Arial"/>
          <w:sz w:val="24"/>
        </w:rPr>
        <w:t>台电脑，预防考试过程中出现的机器故障，如依旧出现系统故障，需先和组委会及时沟通，再安排技术保障人员进入。</w:t>
      </w:r>
    </w:p>
    <w:p>
      <w:pPr>
        <w:adjustRightInd w:val="0"/>
        <w:snapToGrid w:val="0"/>
        <w:spacing w:before="156" w:beforeLines="50" w:line="360" w:lineRule="auto"/>
        <w:ind w:firstLine="480" w:firstLineChars="200"/>
        <w:rPr>
          <w:rFonts w:ascii="仿宋" w:hAnsi="仿宋" w:eastAsia="仿宋" w:cs="Arial"/>
          <w:sz w:val="24"/>
        </w:rPr>
      </w:pPr>
      <w:r>
        <w:rPr>
          <w:rFonts w:hint="eastAsia" w:ascii="仿宋" w:hAnsi="仿宋" w:eastAsia="仿宋" w:cs="Arial"/>
          <w:sz w:val="24"/>
        </w:rPr>
        <w:t>监控拍摄示意图如下：</w:t>
      </w:r>
    </w:p>
    <w:p>
      <w:pPr>
        <w:adjustRightInd w:val="0"/>
        <w:snapToGrid w:val="0"/>
        <w:spacing w:before="156" w:beforeLines="50" w:line="360" w:lineRule="auto"/>
        <w:jc w:val="center"/>
        <w:rPr>
          <w:rFonts w:ascii="仿宋" w:hAnsi="仿宋" w:eastAsia="仿宋" w:cs="Arial"/>
          <w:sz w:val="24"/>
        </w:rPr>
      </w:pPr>
      <w:r>
        <w:rPr>
          <w:rFonts w:ascii="仿宋" w:hAnsi="仿宋" w:eastAsia="仿宋" w:cs="Arial"/>
          <w:sz w:val="24"/>
        </w:rPr>
        <w:drawing>
          <wp:inline distT="0" distB="0" distL="114300" distR="114300">
            <wp:extent cx="3705860" cy="2924810"/>
            <wp:effectExtent l="0" t="0" r="2540" b="21590"/>
            <wp:docPr id="5" name="图片 5" descr="示意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示意图-01"/>
                    <pic:cNvPicPr>
                      <a:picLocks noChangeAspect="1"/>
                    </pic:cNvPicPr>
                  </pic:nvPicPr>
                  <pic:blipFill>
                    <a:blip r:embed="rId12"/>
                    <a:stretch>
                      <a:fillRect/>
                    </a:stretch>
                  </pic:blipFill>
                  <pic:spPr>
                    <a:xfrm>
                      <a:off x="0" y="0"/>
                      <a:ext cx="3705860" cy="2924810"/>
                    </a:xfrm>
                    <a:prstGeom prst="rect">
                      <a:avLst/>
                    </a:prstGeom>
                  </pic:spPr>
                </pic:pic>
              </a:graphicData>
            </a:graphic>
          </wp:inline>
        </w:drawing>
      </w:r>
    </w:p>
    <w:p>
      <w:pPr>
        <w:adjustRightInd w:val="0"/>
        <w:snapToGrid w:val="0"/>
        <w:spacing w:before="156" w:beforeLines="50" w:line="360" w:lineRule="auto"/>
        <w:ind w:firstLine="480" w:firstLineChars="200"/>
        <w:rPr>
          <w:rFonts w:ascii="仿宋" w:hAnsi="仿宋" w:eastAsia="仿宋" w:cs="Arial"/>
          <w:sz w:val="24"/>
        </w:rPr>
      </w:pPr>
      <w:r>
        <w:rPr>
          <w:rFonts w:hint="eastAsia" w:ascii="仿宋" w:hAnsi="仿宋" w:eastAsia="仿宋" w:cs="Arial"/>
          <w:sz w:val="24"/>
        </w:rPr>
        <w:t>每个分赛场须指派一名联络人，所有随考人员须按照《赛场管理》及《选手须知》要求，客观公正地进行赛场管理。对于任何违纪违规行为，应及时汇报分赛场联络人，由联络人向赛事组委会沟通。</w:t>
      </w:r>
    </w:p>
    <w:p>
      <w:pPr>
        <w:adjustRightInd w:val="0"/>
        <w:snapToGrid w:val="0"/>
        <w:spacing w:before="156" w:beforeLines="50" w:line="360" w:lineRule="auto"/>
        <w:ind w:firstLine="480" w:firstLineChars="200"/>
        <w:rPr>
          <w:rFonts w:ascii="仿宋" w:hAnsi="仿宋" w:eastAsia="仿宋" w:cs="Arial"/>
          <w:sz w:val="24"/>
        </w:rPr>
      </w:pPr>
      <w:r>
        <w:rPr>
          <w:rFonts w:hint="eastAsia" w:ascii="仿宋" w:hAnsi="仿宋" w:eastAsia="仿宋" w:cs="Arial"/>
          <w:sz w:val="24"/>
        </w:rPr>
        <w:t>大赛组委会同时通过直播形式对考场进行督导，一经发现作弊等违规行为，当即取消涉事选手本届参赛资格，成绩作废，并作禁赛两年处理。</w:t>
      </w:r>
    </w:p>
    <w:p>
      <w:pPr>
        <w:widowControl/>
        <w:jc w:val="left"/>
        <w:rPr>
          <w:rFonts w:ascii="仿宋" w:hAnsi="仿宋" w:eastAsia="仿宋"/>
          <w:sz w:val="24"/>
        </w:rPr>
      </w:pPr>
      <w:r>
        <w:rPr>
          <w:rFonts w:ascii="仿宋" w:hAnsi="仿宋" w:eastAsia="仿宋"/>
          <w:sz w:val="24"/>
        </w:rPr>
        <w:br w:type="page"/>
      </w:r>
    </w:p>
    <w:p>
      <w:pPr>
        <w:pStyle w:val="3"/>
        <w:numPr>
          <w:ilvl w:val="0"/>
          <w:numId w:val="4"/>
        </w:numPr>
        <w:tabs>
          <w:tab w:val="left" w:pos="2595"/>
        </w:tabs>
        <w:adjustRightInd w:val="0"/>
        <w:snapToGrid w:val="0"/>
        <w:spacing w:before="50" w:after="0" w:line="360" w:lineRule="auto"/>
        <w:jc w:val="center"/>
        <w:rPr>
          <w:rFonts w:ascii="仿宋" w:hAnsi="仿宋" w:eastAsia="仿宋" w:cs="仿宋"/>
          <w:sz w:val="24"/>
          <w:szCs w:val="24"/>
        </w:rPr>
      </w:pPr>
      <w:r>
        <w:rPr>
          <w:rFonts w:hint="eastAsia" w:ascii="仿宋" w:hAnsi="仿宋" w:eastAsia="仿宋" w:cs="仿宋"/>
          <w:sz w:val="24"/>
          <w:szCs w:val="24"/>
        </w:rPr>
        <w:t>线上商业</w:t>
      </w:r>
      <w:r>
        <w:rPr>
          <w:rFonts w:hint="eastAsia" w:ascii="仿宋" w:hAnsi="仿宋" w:eastAsia="仿宋" w:cs="仿宋"/>
          <w:color w:val="000000" w:themeColor="text1"/>
          <w:sz w:val="24"/>
          <w:szCs w:val="24"/>
          <w14:textFill>
            <w14:solidFill>
              <w14:schemeClr w14:val="tx1"/>
            </w14:solidFill>
          </w14:textFill>
        </w:rPr>
        <w:t>创新能力展示注意事项</w:t>
      </w:r>
    </w:p>
    <w:p>
      <w:pPr>
        <w:pStyle w:val="14"/>
        <w:numPr>
          <w:ilvl w:val="0"/>
          <w:numId w:val="0"/>
        </w:numPr>
        <w:spacing w:after="0" w:afterLines="0"/>
      </w:pPr>
      <w:r>
        <w:t>1</w:t>
      </w:r>
      <w:r>
        <w:rPr>
          <w:rFonts w:hint="eastAsia"/>
          <w:lang w:eastAsia="zh-Hans"/>
        </w:rPr>
        <w:t>、</w:t>
      </w:r>
      <w:r>
        <w:rPr>
          <w:rFonts w:hint="eastAsia"/>
        </w:rPr>
        <w:t>选手须知</w:t>
      </w:r>
    </w:p>
    <w:p>
      <w:pPr>
        <w:pStyle w:val="22"/>
        <w:numPr>
          <w:ilvl w:val="0"/>
          <w:numId w:val="5"/>
        </w:numPr>
        <w:spacing w:before="156" w:after="156" w:afterLines="0"/>
      </w:pPr>
      <w:r>
        <w:rPr>
          <w:rFonts w:hint="eastAsia"/>
        </w:rPr>
        <w:t>组委会</w:t>
      </w:r>
      <w:r>
        <w:t>统一</w:t>
      </w:r>
      <w:r>
        <w:rPr>
          <w:rFonts w:hint="eastAsia"/>
        </w:rPr>
        <w:t>选定平台作为竞技赛的评选平台。</w:t>
      </w:r>
      <w:r>
        <w:t>相关</w:t>
      </w:r>
      <w:r>
        <w:rPr>
          <w:rFonts w:hint="eastAsia"/>
        </w:rPr>
        <w:t>竞赛考题素材及引导文件统一由组委会提供；简易设备及环境由各参赛院校自行准备</w:t>
      </w:r>
      <w:r>
        <w:t>。</w:t>
      </w:r>
    </w:p>
    <w:p>
      <w:pPr>
        <w:pStyle w:val="22"/>
        <w:spacing w:before="156" w:afterLines="0"/>
      </w:pPr>
      <w:r>
        <w:t>选手</w:t>
      </w:r>
      <w:r>
        <w:rPr>
          <w:rFonts w:hint="eastAsia"/>
        </w:rPr>
        <w:t>需注册平台账号，完成实名认证。并在第一阶段入围赛截止后提供相关数据；并做好第二阶段决赛的参赛准备。</w:t>
      </w:r>
    </w:p>
    <w:p>
      <w:pPr>
        <w:pStyle w:val="22"/>
        <w:spacing w:before="156" w:afterLines="0"/>
      </w:pPr>
      <w:r>
        <w:t>选手</w:t>
      </w:r>
      <w:r>
        <w:rPr>
          <w:rFonts w:hint="eastAsia"/>
        </w:rPr>
        <w:t>录播时</w:t>
      </w:r>
      <w:r>
        <w:t>禁止</w:t>
      </w:r>
      <w:r>
        <w:rPr>
          <w:rFonts w:hint="eastAsia"/>
        </w:rPr>
        <w:t>违反相关规定。</w:t>
      </w:r>
    </w:p>
    <w:p>
      <w:pPr>
        <w:pStyle w:val="22"/>
        <w:spacing w:before="156" w:afterLines="0"/>
      </w:pPr>
      <w:r>
        <w:rPr>
          <w:rFonts w:hint="eastAsia"/>
        </w:rPr>
        <w:t>选手需提前观看指导性视频，熟悉比赛规则及竞赛环境。</w:t>
      </w:r>
    </w:p>
    <w:p>
      <w:pPr>
        <w:pStyle w:val="22"/>
        <w:spacing w:before="156" w:afterLines="0"/>
      </w:pPr>
      <w:r>
        <w:rPr>
          <w:rFonts w:hint="eastAsia"/>
        </w:rPr>
        <w:t>选手拍摄的视频将统一登记上传至（</w:t>
      </w:r>
      <w:r>
        <w:t>http://www.ncvac.net</w:t>
      </w:r>
      <w:r>
        <w:rPr>
          <w:rFonts w:hint="eastAsia"/>
        </w:rPr>
        <w:t>）；由组委会携手“契约锁”为参赛选手</w:t>
      </w:r>
      <w:r>
        <w:rPr>
          <w:rFonts w:hint="eastAsia"/>
          <w:color w:val="000000" w:themeColor="text1"/>
          <w14:textFill>
            <w14:solidFill>
              <w14:schemeClr w14:val="tx1"/>
            </w14:solidFill>
          </w14:textFill>
        </w:rPr>
        <w:t>办理版权确权。</w:t>
      </w:r>
    </w:p>
    <w:p>
      <w:pPr>
        <w:pStyle w:val="22"/>
        <w:numPr>
          <w:ilvl w:val="0"/>
          <w:numId w:val="0"/>
        </w:numPr>
        <w:adjustRightInd w:val="0"/>
        <w:spacing w:before="156" w:afterLines="0"/>
        <w:ind w:left="422" w:hanging="422" w:hangingChars="175"/>
        <w:rPr>
          <w:b/>
          <w:bCs/>
        </w:rPr>
      </w:pPr>
      <w:r>
        <w:rPr>
          <w:b/>
          <w:bCs/>
        </w:rPr>
        <w:t>2</w:t>
      </w:r>
      <w:r>
        <w:rPr>
          <w:rFonts w:hint="eastAsia"/>
          <w:b/>
          <w:bCs/>
          <w:lang w:eastAsia="zh-Hans"/>
        </w:rPr>
        <w:t>、</w:t>
      </w:r>
      <w:r>
        <w:rPr>
          <w:rFonts w:hint="eastAsia"/>
          <w:b/>
          <w:bCs/>
        </w:rPr>
        <w:t>竞</w:t>
      </w:r>
      <w:r>
        <w:rPr>
          <w:b/>
          <w:bCs/>
        </w:rPr>
        <w:t>赛组织</w:t>
      </w:r>
    </w:p>
    <w:p>
      <w:pPr>
        <w:pStyle w:val="3"/>
        <w:tabs>
          <w:tab w:val="left" w:pos="2595"/>
        </w:tabs>
        <w:adjustRightInd w:val="0"/>
        <w:snapToGrid w:val="0"/>
        <w:spacing w:before="50" w:after="0" w:line="360" w:lineRule="auto"/>
        <w:rPr>
          <w:rFonts w:ascii="仿宋" w:hAnsi="仿宋" w:eastAsia="仿宋"/>
          <w:sz w:val="24"/>
          <w:szCs w:val="24"/>
        </w:rPr>
      </w:pPr>
      <w:r>
        <w:rPr>
          <w:rFonts w:hint="eastAsia" w:ascii="仿宋" w:hAnsi="仿宋" w:eastAsia="仿宋"/>
          <w:sz w:val="24"/>
          <w:szCs w:val="24"/>
        </w:rPr>
        <w:t>组织原则</w:t>
      </w:r>
    </w:p>
    <w:p>
      <w:pPr>
        <w:adjustRightInd w:val="0"/>
        <w:snapToGrid w:val="0"/>
        <w:spacing w:before="156" w:beforeLines="50" w:line="360" w:lineRule="auto"/>
        <w:ind w:firstLine="480" w:firstLineChars="200"/>
        <w:rPr>
          <w:rFonts w:ascii="仿宋" w:hAnsi="仿宋" w:eastAsia="仿宋" w:cs="Arial"/>
          <w:sz w:val="24"/>
        </w:rPr>
      </w:pPr>
      <w:r>
        <w:rPr>
          <w:rFonts w:hint="eastAsia" w:ascii="仿宋" w:hAnsi="仿宋" w:eastAsia="仿宋" w:cs="Arial"/>
          <w:sz w:val="24"/>
        </w:rPr>
        <w:t>竞赛组织按照“自愿、开放、严谨、创新”的原则。各参赛院校（系）按自身学员情况组织引导。商赛参与人数原则上不做限制（以校为单位取最高分并入团队成绩，“一校两队”的情况下共享最高分，取总分最高的队伍代表学校领奖）</w:t>
      </w:r>
    </w:p>
    <w:p>
      <w:pPr>
        <w:pStyle w:val="3"/>
        <w:tabs>
          <w:tab w:val="left" w:pos="2595"/>
        </w:tabs>
        <w:adjustRightInd w:val="0"/>
        <w:snapToGrid w:val="0"/>
        <w:spacing w:before="50" w:after="0" w:line="360" w:lineRule="auto"/>
        <w:rPr>
          <w:rFonts w:ascii="仿宋" w:hAnsi="仿宋" w:eastAsia="仿宋"/>
          <w:sz w:val="24"/>
          <w:szCs w:val="24"/>
        </w:rPr>
      </w:pPr>
      <w:r>
        <w:rPr>
          <w:rFonts w:hint="eastAsia" w:ascii="仿宋" w:hAnsi="仿宋" w:eastAsia="仿宋"/>
          <w:sz w:val="24"/>
          <w:szCs w:val="24"/>
        </w:rPr>
        <w:t>硬件配置参考</w:t>
      </w:r>
    </w:p>
    <w:p>
      <w:pPr>
        <w:pStyle w:val="22"/>
        <w:numPr>
          <w:ilvl w:val="0"/>
          <w:numId w:val="0"/>
        </w:numPr>
        <w:adjustRightInd w:val="0"/>
        <w:spacing w:before="156" w:afterLines="0"/>
        <w:ind w:firstLine="480" w:firstLineChars="200"/>
      </w:pPr>
      <w:r>
        <w:rPr>
          <w:rFonts w:hint="eastAsia"/>
        </w:rPr>
        <w:t>在具备网络环境的场所内，设备包含但不限于智能手机、电脑、交换机、路由器、灯光等。基础配置：智能手机、网络；</w:t>
      </w:r>
    </w:p>
    <w:p>
      <w:pPr>
        <w:pStyle w:val="3"/>
        <w:tabs>
          <w:tab w:val="left" w:pos="2595"/>
        </w:tabs>
        <w:adjustRightInd w:val="0"/>
        <w:snapToGrid w:val="0"/>
        <w:spacing w:before="50" w:after="0" w:line="360" w:lineRule="auto"/>
        <w:rPr>
          <w:rFonts w:ascii="仿宋" w:hAnsi="仿宋" w:eastAsia="仿宋"/>
          <w:sz w:val="24"/>
          <w:szCs w:val="24"/>
        </w:rPr>
      </w:pPr>
      <w:r>
        <w:rPr>
          <w:rFonts w:hint="eastAsia" w:ascii="仿宋" w:hAnsi="仿宋" w:eastAsia="仿宋"/>
          <w:sz w:val="24"/>
          <w:szCs w:val="24"/>
        </w:rPr>
        <w:t>商赛平台管理</w:t>
      </w:r>
    </w:p>
    <w:p>
      <w:pPr>
        <w:adjustRightInd w:val="0"/>
        <w:snapToGrid w:val="0"/>
        <w:spacing w:before="156" w:beforeLines="50" w:line="360" w:lineRule="auto"/>
        <w:ind w:firstLine="480" w:firstLineChars="200"/>
        <w:rPr>
          <w:rFonts w:ascii="仿宋" w:hAnsi="仿宋" w:eastAsia="仿宋" w:cs="Arial"/>
          <w:sz w:val="24"/>
        </w:rPr>
        <w:sectPr>
          <w:headerReference r:id="rId3" w:type="default"/>
          <w:footerReference r:id="rId4" w:type="default"/>
          <w:pgSz w:w="11900" w:h="16840"/>
          <w:pgMar w:top="1440" w:right="1800" w:bottom="1440" w:left="1800" w:header="851" w:footer="992" w:gutter="0"/>
          <w:pgNumType w:start="1" w:chapStyle="1"/>
          <w:cols w:space="425" w:num="1"/>
          <w:docGrid w:type="lines" w:linePitch="312" w:charSpace="0"/>
        </w:sectPr>
      </w:pPr>
      <w:r>
        <w:rPr>
          <w:rFonts w:hint="eastAsia" w:ascii="仿宋" w:hAnsi="仿宋" w:eastAsia="仿宋" w:cs="Arial"/>
          <w:sz w:val="24"/>
        </w:rPr>
        <w:t>各院校及相关参赛选手应遵照平台使用规范及相关安全规定，合理使用素材与合理分配时间。最终以运营数据、销售额作为评定依据。决赛选品素材将统一由组委会提供。</w:t>
      </w:r>
    </w:p>
    <w:p>
      <w:pPr>
        <w:pStyle w:val="22"/>
        <w:numPr>
          <w:ilvl w:val="0"/>
          <w:numId w:val="0"/>
        </w:numPr>
        <w:adjustRightInd w:val="0"/>
        <w:spacing w:before="156" w:afterLines="0"/>
        <w:ind w:left="419" w:hanging="419" w:hangingChars="174"/>
        <w:rPr>
          <w:b/>
        </w:rPr>
      </w:pPr>
      <w:r>
        <w:rPr>
          <w:b/>
          <w:bCs/>
        </w:rPr>
        <w:t>2</w:t>
      </w:r>
      <w:r>
        <w:rPr>
          <w:rFonts w:hint="eastAsia"/>
          <w:b/>
          <w:bCs/>
          <w:lang w:eastAsia="zh-Hans"/>
        </w:rPr>
        <w:t>、</w:t>
      </w:r>
      <w:r>
        <w:rPr>
          <w:rFonts w:hint="eastAsia"/>
          <w:b/>
        </w:rPr>
        <w:t>商赛流程示意图</w:t>
      </w:r>
    </w:p>
    <w:tbl>
      <w:tblPr>
        <w:tblStyle w:val="9"/>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662"/>
        <w:gridCol w:w="709"/>
        <w:gridCol w:w="1701"/>
        <w:gridCol w:w="141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vAlign w:val="center"/>
          </w:tcPr>
          <w:p>
            <w:pPr>
              <w:pStyle w:val="22"/>
              <w:numPr>
                <w:ilvl w:val="0"/>
                <w:numId w:val="0"/>
              </w:numPr>
              <w:adjustRightInd w:val="0"/>
              <w:spacing w:before="156" w:afterLines="0"/>
              <w:jc w:val="center"/>
              <w:rPr>
                <w:b/>
                <w:bCs/>
              </w:rPr>
            </w:pPr>
            <w:r>
              <w:rPr>
                <w:rFonts w:hint="eastAsia"/>
                <w:b/>
                <w:bCs/>
              </w:rPr>
              <w:t>第一阶段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pStyle w:val="22"/>
              <w:numPr>
                <w:ilvl w:val="0"/>
                <w:numId w:val="0"/>
              </w:numPr>
              <w:adjustRightInd w:val="0"/>
              <w:spacing w:before="156" w:afterLines="0"/>
              <w:jc w:val="center"/>
              <w:rPr>
                <w:b/>
                <w:bCs/>
              </w:rPr>
            </w:pPr>
            <w:r>
              <w:rPr>
                <w:rFonts w:hint="eastAsia"/>
                <w:b/>
                <w:bCs/>
              </w:rPr>
              <w:t>序号</w:t>
            </w:r>
          </w:p>
        </w:tc>
        <w:tc>
          <w:tcPr>
            <w:tcW w:w="2662" w:type="dxa"/>
            <w:vAlign w:val="center"/>
          </w:tcPr>
          <w:p>
            <w:pPr>
              <w:pStyle w:val="22"/>
              <w:numPr>
                <w:ilvl w:val="0"/>
                <w:numId w:val="0"/>
              </w:numPr>
              <w:adjustRightInd w:val="0"/>
              <w:spacing w:before="156" w:afterLines="0"/>
              <w:jc w:val="center"/>
              <w:rPr>
                <w:b/>
                <w:bCs/>
              </w:rPr>
            </w:pPr>
            <w:r>
              <w:rPr>
                <w:rFonts w:hint="eastAsia"/>
                <w:b/>
                <w:bCs/>
              </w:rPr>
              <w:t>时间</w:t>
            </w:r>
          </w:p>
        </w:tc>
        <w:tc>
          <w:tcPr>
            <w:tcW w:w="709" w:type="dxa"/>
            <w:vAlign w:val="center"/>
          </w:tcPr>
          <w:p>
            <w:pPr>
              <w:pStyle w:val="22"/>
              <w:numPr>
                <w:ilvl w:val="0"/>
                <w:numId w:val="0"/>
              </w:numPr>
              <w:adjustRightInd w:val="0"/>
              <w:spacing w:before="156" w:afterLines="0"/>
              <w:jc w:val="center"/>
              <w:rPr>
                <w:b/>
                <w:bCs/>
              </w:rPr>
            </w:pPr>
            <w:r>
              <w:rPr>
                <w:rFonts w:hint="eastAsia"/>
                <w:b/>
                <w:bCs/>
              </w:rPr>
              <w:t>参与人数</w:t>
            </w:r>
          </w:p>
        </w:tc>
        <w:tc>
          <w:tcPr>
            <w:tcW w:w="1701" w:type="dxa"/>
            <w:vAlign w:val="center"/>
          </w:tcPr>
          <w:p>
            <w:pPr>
              <w:pStyle w:val="22"/>
              <w:numPr>
                <w:ilvl w:val="0"/>
                <w:numId w:val="0"/>
              </w:numPr>
              <w:adjustRightInd w:val="0"/>
              <w:spacing w:before="156" w:afterLines="0"/>
              <w:jc w:val="center"/>
              <w:rPr>
                <w:b/>
                <w:bCs/>
              </w:rPr>
            </w:pPr>
            <w:r>
              <w:rPr>
                <w:rFonts w:hint="eastAsia"/>
                <w:b/>
                <w:bCs/>
              </w:rPr>
              <w:t>产品内容</w:t>
            </w:r>
          </w:p>
        </w:tc>
        <w:tc>
          <w:tcPr>
            <w:tcW w:w="1417" w:type="dxa"/>
            <w:vAlign w:val="center"/>
          </w:tcPr>
          <w:p>
            <w:pPr>
              <w:pStyle w:val="22"/>
              <w:numPr>
                <w:ilvl w:val="0"/>
                <w:numId w:val="0"/>
              </w:numPr>
              <w:adjustRightInd w:val="0"/>
              <w:spacing w:before="156" w:afterLines="0"/>
              <w:jc w:val="center"/>
              <w:rPr>
                <w:b/>
                <w:bCs/>
              </w:rPr>
            </w:pPr>
            <w:r>
              <w:rPr>
                <w:rFonts w:hint="eastAsia"/>
                <w:b/>
                <w:bCs/>
              </w:rPr>
              <w:t>评定依据</w:t>
            </w:r>
          </w:p>
        </w:tc>
        <w:tc>
          <w:tcPr>
            <w:tcW w:w="2552" w:type="dxa"/>
            <w:vAlign w:val="center"/>
          </w:tcPr>
          <w:p>
            <w:pPr>
              <w:pStyle w:val="22"/>
              <w:numPr>
                <w:ilvl w:val="0"/>
                <w:numId w:val="0"/>
              </w:numPr>
              <w:adjustRightInd w:val="0"/>
              <w:spacing w:before="156" w:afterLines="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pStyle w:val="22"/>
              <w:numPr>
                <w:ilvl w:val="0"/>
                <w:numId w:val="0"/>
              </w:numPr>
              <w:adjustRightInd w:val="0"/>
              <w:spacing w:before="156" w:afterLines="0"/>
              <w:jc w:val="center"/>
              <w:rPr>
                <w:b/>
                <w:bCs/>
              </w:rPr>
            </w:pPr>
            <w:r>
              <w:rPr>
                <w:rFonts w:hint="eastAsia"/>
                <w:b/>
                <w:bCs/>
              </w:rPr>
              <w:t>1</w:t>
            </w:r>
          </w:p>
        </w:tc>
        <w:tc>
          <w:tcPr>
            <w:tcW w:w="2662" w:type="dxa"/>
            <w:vAlign w:val="center"/>
          </w:tcPr>
          <w:p>
            <w:pPr>
              <w:pStyle w:val="22"/>
              <w:numPr>
                <w:ilvl w:val="0"/>
                <w:numId w:val="0"/>
              </w:numPr>
              <w:adjustRightInd w:val="0"/>
              <w:spacing w:before="156" w:afterLines="0"/>
              <w:jc w:val="center"/>
              <w:rPr>
                <w:b/>
                <w:bCs/>
              </w:rPr>
            </w:pPr>
            <w:r>
              <w:rPr>
                <w:rFonts w:hint="eastAsia"/>
                <w:b/>
                <w:bCs/>
              </w:rPr>
              <w:t>1</w:t>
            </w:r>
            <w:r>
              <w:rPr>
                <w:b/>
                <w:bCs/>
              </w:rPr>
              <w:t>0</w:t>
            </w:r>
            <w:r>
              <w:rPr>
                <w:rFonts w:hint="eastAsia"/>
                <w:b/>
                <w:bCs/>
              </w:rPr>
              <w:t>月1</w:t>
            </w:r>
            <w:r>
              <w:rPr>
                <w:b/>
                <w:bCs/>
              </w:rPr>
              <w:t>1</w:t>
            </w:r>
            <w:r>
              <w:rPr>
                <w:rFonts w:hint="eastAsia"/>
                <w:b/>
                <w:bCs/>
              </w:rPr>
              <w:t>日-</w:t>
            </w:r>
            <w:r>
              <w:rPr>
                <w:b/>
                <w:bCs/>
              </w:rPr>
              <w:t>10</w:t>
            </w:r>
            <w:r>
              <w:rPr>
                <w:rFonts w:hint="eastAsia"/>
                <w:b/>
                <w:bCs/>
              </w:rPr>
              <w:t>月2</w:t>
            </w:r>
            <w:r>
              <w:rPr>
                <w:b/>
                <w:bCs/>
              </w:rPr>
              <w:t>1</w:t>
            </w:r>
            <w:r>
              <w:rPr>
                <w:rFonts w:hint="eastAsia"/>
                <w:b/>
                <w:bCs/>
              </w:rPr>
              <w:t>日</w:t>
            </w:r>
          </w:p>
        </w:tc>
        <w:tc>
          <w:tcPr>
            <w:tcW w:w="709" w:type="dxa"/>
            <w:vAlign w:val="center"/>
          </w:tcPr>
          <w:p>
            <w:pPr>
              <w:pStyle w:val="22"/>
              <w:numPr>
                <w:ilvl w:val="0"/>
                <w:numId w:val="0"/>
              </w:numPr>
              <w:adjustRightInd w:val="0"/>
              <w:spacing w:before="156" w:afterLines="0"/>
              <w:jc w:val="center"/>
              <w:rPr>
                <w:b/>
                <w:bCs/>
              </w:rPr>
            </w:pPr>
            <w:r>
              <w:rPr>
                <w:rFonts w:hint="eastAsia"/>
                <w:b/>
                <w:bCs/>
              </w:rPr>
              <w:t>不限</w:t>
            </w:r>
          </w:p>
        </w:tc>
        <w:tc>
          <w:tcPr>
            <w:tcW w:w="1701" w:type="dxa"/>
            <w:vAlign w:val="center"/>
          </w:tcPr>
          <w:p>
            <w:pPr>
              <w:pStyle w:val="22"/>
              <w:numPr>
                <w:ilvl w:val="0"/>
                <w:numId w:val="0"/>
              </w:numPr>
              <w:adjustRightInd w:val="0"/>
              <w:spacing w:before="156" w:afterLines="0"/>
              <w:jc w:val="center"/>
              <w:rPr>
                <w:b/>
                <w:bCs/>
              </w:rPr>
            </w:pPr>
            <w:r>
              <w:rPr>
                <w:rFonts w:hint="eastAsia"/>
                <w:b/>
                <w:bCs/>
              </w:rPr>
              <w:t>不限</w:t>
            </w:r>
          </w:p>
        </w:tc>
        <w:tc>
          <w:tcPr>
            <w:tcW w:w="1417" w:type="dxa"/>
            <w:vAlign w:val="center"/>
          </w:tcPr>
          <w:p>
            <w:pPr>
              <w:pStyle w:val="22"/>
              <w:numPr>
                <w:ilvl w:val="0"/>
                <w:numId w:val="0"/>
              </w:numPr>
              <w:adjustRightInd w:val="0"/>
              <w:spacing w:before="156" w:afterLines="0"/>
              <w:jc w:val="center"/>
              <w:rPr>
                <w:b/>
                <w:bCs/>
              </w:rPr>
            </w:pPr>
            <w:r>
              <w:rPr>
                <w:rFonts w:hint="eastAsia"/>
                <w:b/>
                <w:bCs/>
              </w:rPr>
              <w:t>参照评定标准</w:t>
            </w:r>
          </w:p>
        </w:tc>
        <w:tc>
          <w:tcPr>
            <w:tcW w:w="2552" w:type="dxa"/>
            <w:vAlign w:val="center"/>
          </w:tcPr>
          <w:p>
            <w:pPr>
              <w:pStyle w:val="22"/>
              <w:numPr>
                <w:ilvl w:val="0"/>
                <w:numId w:val="0"/>
              </w:numPr>
              <w:adjustRightInd w:val="0"/>
              <w:spacing w:before="156" w:afterLines="0"/>
              <w:jc w:val="center"/>
              <w:rPr>
                <w:b/>
                <w:bCs/>
              </w:rPr>
            </w:pPr>
            <w:r>
              <w:rPr>
                <w:rFonts w:hint="eastAsia"/>
              </w:rPr>
              <w:drawing>
                <wp:anchor distT="0" distB="0" distL="114300" distR="114300" simplePos="0" relativeHeight="251660288" behindDoc="0" locked="0" layoutInCell="1" allowOverlap="1">
                  <wp:simplePos x="0" y="0"/>
                  <wp:positionH relativeFrom="column">
                    <wp:posOffset>309880</wp:posOffset>
                  </wp:positionH>
                  <wp:positionV relativeFrom="paragraph">
                    <wp:posOffset>326390</wp:posOffset>
                  </wp:positionV>
                  <wp:extent cx="862965" cy="788035"/>
                  <wp:effectExtent l="0" t="0" r="63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2965" cy="788035"/>
                          </a:xfrm>
                          <a:prstGeom prst="rect">
                            <a:avLst/>
                          </a:prstGeom>
                        </pic:spPr>
                      </pic:pic>
                    </a:graphicData>
                  </a:graphic>
                </wp:anchor>
              </w:drawing>
            </w:r>
            <w:r>
              <w:rPr>
                <w:rFonts w:hint="eastAsia"/>
                <w:b/>
                <w:bCs/>
              </w:rPr>
              <w:t>商赛群内公布</w:t>
            </w:r>
          </w:p>
          <w:p>
            <w:pPr>
              <w:pStyle w:val="22"/>
              <w:numPr>
                <w:ilvl w:val="0"/>
                <w:numId w:val="0"/>
              </w:numPr>
              <w:adjustRightInd w:val="0"/>
              <w:spacing w:before="156" w:afterLines="0"/>
              <w:jc w:val="center"/>
              <w:rPr>
                <w:b/>
                <w:bCs/>
                <w:highlight w:val="yellow"/>
              </w:rPr>
            </w:pPr>
          </w:p>
          <w:p>
            <w:pPr>
              <w:pStyle w:val="22"/>
              <w:numPr>
                <w:ilvl w:val="0"/>
                <w:numId w:val="0"/>
              </w:numPr>
              <w:adjustRightInd w:val="0"/>
              <w:spacing w:before="156" w:afterLines="0"/>
              <w:jc w:val="center"/>
              <w:rPr>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vAlign w:val="center"/>
          </w:tcPr>
          <w:p>
            <w:pPr>
              <w:pStyle w:val="22"/>
              <w:numPr>
                <w:ilvl w:val="0"/>
                <w:numId w:val="0"/>
              </w:numPr>
              <w:adjustRightInd w:val="0"/>
              <w:spacing w:before="156" w:afterLines="0"/>
              <w:jc w:val="center"/>
              <w:rPr>
                <w:b/>
                <w:bCs/>
              </w:rPr>
            </w:pPr>
            <w:r>
              <w:rPr>
                <w:rFonts w:hint="eastAsia"/>
                <w:b/>
                <w:bCs/>
              </w:rPr>
              <w:t>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pStyle w:val="22"/>
              <w:numPr>
                <w:ilvl w:val="0"/>
                <w:numId w:val="0"/>
              </w:numPr>
              <w:adjustRightInd w:val="0"/>
              <w:spacing w:before="156" w:afterLines="0"/>
              <w:jc w:val="center"/>
              <w:rPr>
                <w:b/>
                <w:bCs/>
              </w:rPr>
            </w:pPr>
            <w:r>
              <w:rPr>
                <w:rFonts w:hint="eastAsia"/>
                <w:b/>
                <w:bCs/>
              </w:rPr>
              <w:t>2</w:t>
            </w:r>
          </w:p>
        </w:tc>
        <w:tc>
          <w:tcPr>
            <w:tcW w:w="2662" w:type="dxa"/>
            <w:vAlign w:val="center"/>
          </w:tcPr>
          <w:p>
            <w:pPr>
              <w:pStyle w:val="22"/>
              <w:numPr>
                <w:ilvl w:val="0"/>
                <w:numId w:val="0"/>
              </w:numPr>
              <w:adjustRightInd w:val="0"/>
              <w:spacing w:before="156" w:afterLines="0"/>
              <w:jc w:val="center"/>
              <w:rPr>
                <w:b/>
                <w:bCs/>
              </w:rPr>
            </w:pPr>
            <w:r>
              <w:rPr>
                <w:rFonts w:hint="eastAsia"/>
                <w:b/>
                <w:bCs/>
              </w:rPr>
              <w:t>1</w:t>
            </w:r>
            <w:r>
              <w:rPr>
                <w:b/>
                <w:bCs/>
              </w:rPr>
              <w:t>1</w:t>
            </w:r>
            <w:r>
              <w:rPr>
                <w:rFonts w:hint="eastAsia"/>
                <w:b/>
                <w:bCs/>
              </w:rPr>
              <w:t>月1日-</w:t>
            </w:r>
            <w:r>
              <w:rPr>
                <w:b/>
                <w:bCs/>
              </w:rPr>
              <w:t>11</w:t>
            </w:r>
            <w:r>
              <w:rPr>
                <w:rFonts w:hint="eastAsia"/>
                <w:b/>
                <w:bCs/>
              </w:rPr>
              <w:t>月1</w:t>
            </w:r>
            <w:r>
              <w:rPr>
                <w:b/>
                <w:bCs/>
              </w:rPr>
              <w:t>9</w:t>
            </w:r>
            <w:r>
              <w:rPr>
                <w:rFonts w:hint="eastAsia"/>
                <w:b/>
                <w:bCs/>
              </w:rPr>
              <w:t>日</w:t>
            </w:r>
          </w:p>
        </w:tc>
        <w:tc>
          <w:tcPr>
            <w:tcW w:w="709" w:type="dxa"/>
            <w:vAlign w:val="center"/>
          </w:tcPr>
          <w:p>
            <w:pPr>
              <w:pStyle w:val="22"/>
              <w:numPr>
                <w:ilvl w:val="0"/>
                <w:numId w:val="0"/>
              </w:numPr>
              <w:adjustRightInd w:val="0"/>
              <w:spacing w:before="156" w:afterLines="0"/>
              <w:jc w:val="center"/>
              <w:rPr>
                <w:b/>
                <w:bCs/>
              </w:rPr>
            </w:pPr>
            <w:r>
              <w:rPr>
                <w:rFonts w:hint="eastAsia"/>
                <w:b/>
                <w:bCs/>
              </w:rPr>
              <w:t>入围选手</w:t>
            </w:r>
          </w:p>
        </w:tc>
        <w:tc>
          <w:tcPr>
            <w:tcW w:w="1701" w:type="dxa"/>
            <w:vAlign w:val="center"/>
          </w:tcPr>
          <w:p>
            <w:pPr>
              <w:pStyle w:val="22"/>
              <w:numPr>
                <w:ilvl w:val="0"/>
                <w:numId w:val="0"/>
              </w:numPr>
              <w:adjustRightInd w:val="0"/>
              <w:spacing w:before="156" w:afterLines="0"/>
              <w:jc w:val="center"/>
              <w:rPr>
                <w:b/>
                <w:bCs/>
              </w:rPr>
            </w:pPr>
            <w:r>
              <w:rPr>
                <w:rFonts w:hint="eastAsia"/>
                <w:b/>
                <w:bCs/>
              </w:rPr>
              <w:t>选定拟题</w:t>
            </w:r>
          </w:p>
        </w:tc>
        <w:tc>
          <w:tcPr>
            <w:tcW w:w="1417" w:type="dxa"/>
            <w:vAlign w:val="center"/>
          </w:tcPr>
          <w:p>
            <w:pPr>
              <w:pStyle w:val="22"/>
              <w:numPr>
                <w:ilvl w:val="0"/>
                <w:numId w:val="0"/>
              </w:numPr>
              <w:adjustRightInd w:val="0"/>
              <w:spacing w:before="156" w:afterLines="0"/>
              <w:jc w:val="center"/>
              <w:rPr>
                <w:b/>
                <w:bCs/>
              </w:rPr>
            </w:pPr>
            <w:r>
              <w:rPr>
                <w:rFonts w:hint="eastAsia"/>
                <w:b/>
                <w:bCs/>
              </w:rPr>
              <w:t>运营数据与销售数据</w:t>
            </w:r>
          </w:p>
        </w:tc>
        <w:tc>
          <w:tcPr>
            <w:tcW w:w="2552" w:type="dxa"/>
            <w:vAlign w:val="center"/>
          </w:tcPr>
          <w:p>
            <w:pPr>
              <w:pStyle w:val="22"/>
              <w:numPr>
                <w:ilvl w:val="0"/>
                <w:numId w:val="0"/>
              </w:numPr>
              <w:adjustRightInd w:val="0"/>
              <w:spacing w:before="156" w:afterLines="0"/>
              <w:jc w:val="center"/>
              <w:rPr>
                <w:b/>
                <w:bCs/>
              </w:rPr>
            </w:pPr>
            <w:r>
              <w:rPr>
                <w:rFonts w:hint="eastAsia"/>
                <w:b/>
                <w:bCs/>
              </w:rPr>
              <w:t>运营数据与销售数据由组委会在后台直接获取。</w:t>
            </w:r>
          </w:p>
        </w:tc>
      </w:tr>
    </w:tbl>
    <w:p>
      <w:pPr>
        <w:pStyle w:val="22"/>
        <w:numPr>
          <w:ilvl w:val="0"/>
          <w:numId w:val="0"/>
        </w:numPr>
        <w:adjustRightInd w:val="0"/>
        <w:spacing w:before="156" w:afterLines="0"/>
        <w:ind w:left="422" w:hanging="422" w:hangingChars="175"/>
        <w:rPr>
          <w:b/>
          <w:bCs/>
        </w:rPr>
      </w:pPr>
    </w:p>
    <w:p>
      <w:pPr>
        <w:widowControl/>
        <w:jc w:val="left"/>
        <w:rPr>
          <w:rFonts w:ascii="仿宋" w:hAnsi="仿宋" w:eastAsia="仿宋" w:cs="Arial"/>
          <w:b/>
          <w:sz w:val="24"/>
          <w:lang w:eastAsia="zh-Hans"/>
        </w:rPr>
      </w:pPr>
      <w:r>
        <w:rPr>
          <w:b/>
          <w:lang w:eastAsia="zh-Hans"/>
        </w:rPr>
        <w:br w:type="page"/>
      </w:r>
    </w:p>
    <w:p>
      <w:pPr>
        <w:pStyle w:val="12"/>
        <w:spacing w:after="0" w:afterLines="0"/>
        <w:ind w:firstLine="0" w:firstLineChars="0"/>
        <w:jc w:val="center"/>
        <w:rPr>
          <w:b/>
        </w:rPr>
      </w:pPr>
      <w:r>
        <w:rPr>
          <w:rFonts w:hint="eastAsia"/>
          <w:b/>
          <w:lang w:eastAsia="zh-Hans"/>
        </w:rPr>
        <w:t>四、</w:t>
      </w:r>
      <w:r>
        <w:rPr>
          <w:rFonts w:hint="eastAsia"/>
          <w:b/>
          <w:color w:val="000000" w:themeColor="text1"/>
          <w14:textFill>
            <w14:solidFill>
              <w14:schemeClr w14:val="tx1"/>
            </w14:solidFill>
          </w14:textFill>
        </w:rPr>
        <w:t>助学金设置</w:t>
      </w:r>
      <w:r>
        <w:rPr>
          <w:rFonts w:hint="eastAsia"/>
          <w:b/>
          <w:color w:val="000000" w:themeColor="text1"/>
          <w:lang w:eastAsia="zh-Hans"/>
          <w14:textFill>
            <w14:solidFill>
              <w14:schemeClr w14:val="tx1"/>
            </w14:solidFill>
          </w14:textFill>
        </w:rPr>
        <w:t>及荣誉颁发</w:t>
      </w:r>
    </w:p>
    <w:p>
      <w:pPr>
        <w:pStyle w:val="25"/>
        <w:tabs>
          <w:tab w:val="left" w:pos="637"/>
          <w:tab w:val="left" w:pos="638"/>
        </w:tabs>
        <w:ind w:left="0" w:firstLine="0"/>
        <w:jc w:val="left"/>
        <w:rPr>
          <w:b/>
          <w:w w:val="95"/>
          <w:sz w:val="24"/>
        </w:rPr>
      </w:pPr>
      <w:r>
        <w:rPr>
          <w:b/>
          <w:w w:val="95"/>
          <w:sz w:val="24"/>
        </w:rPr>
        <w:t>1</w:t>
      </w:r>
      <w:r>
        <w:rPr>
          <w:rFonts w:hint="eastAsia"/>
          <w:b/>
          <w:w w:val="95"/>
          <w:sz w:val="24"/>
          <w:lang w:eastAsia="zh-Hans"/>
        </w:rPr>
        <w:t>、助学金</w:t>
      </w:r>
      <w:r>
        <w:rPr>
          <w:rFonts w:hint="eastAsia"/>
          <w:b/>
          <w:w w:val="95"/>
          <w:sz w:val="24"/>
        </w:rPr>
        <w:t>设置</w:t>
      </w:r>
    </w:p>
    <w:p>
      <w:pPr>
        <w:pStyle w:val="4"/>
        <w:spacing w:line="364" w:lineRule="auto"/>
        <w:ind w:right="531" w:firstLine="360" w:firstLineChars="150"/>
        <w:jc w:val="both"/>
      </w:pPr>
      <w:r>
        <w:t>1)团体一等奖分为本科组与高职组，获得团体一等奖的单位可与</w:t>
      </w:r>
      <w:r>
        <w:rPr>
          <w:rFonts w:hint="eastAsia"/>
        </w:rPr>
        <w:t>协办</w:t>
      </w:r>
      <w:r>
        <w:t>方或品牌支持单位签订专项助学项目，助学项目涉及资金直接与团体一等奖获奖院校对接，受助学院开具公益收据。</w:t>
      </w:r>
    </w:p>
    <w:p>
      <w:pPr>
        <w:pStyle w:val="4"/>
        <w:spacing w:line="364" w:lineRule="auto"/>
        <w:ind w:right="531" w:firstLine="360" w:firstLineChars="150"/>
        <w:jc w:val="both"/>
      </w:pPr>
      <w:r>
        <w:t>2)团体一等奖的构成由3名学生的实务操作考试与1名</w:t>
      </w:r>
      <w:r>
        <w:rPr>
          <w:rFonts w:hint="eastAsia"/>
        </w:rPr>
        <w:t>最优</w:t>
      </w:r>
      <w:r>
        <w:t>学生的商</w:t>
      </w:r>
      <w:r>
        <w:rPr>
          <w:rFonts w:hint="eastAsia"/>
        </w:rPr>
        <w:t>赛成绩化作</w:t>
      </w:r>
      <w:r>
        <w:t>总积分作为选拔依据。</w:t>
      </w:r>
    </w:p>
    <w:p>
      <w:pPr>
        <w:pStyle w:val="4"/>
        <w:spacing w:line="364" w:lineRule="auto"/>
        <w:ind w:right="531" w:firstLine="360" w:firstLineChars="150"/>
        <w:jc w:val="both"/>
      </w:pPr>
      <w:r>
        <w:t>3)所有获奖选手，将由支持</w:t>
      </w:r>
      <w:r>
        <w:rPr>
          <w:rFonts w:hint="eastAsia"/>
        </w:rPr>
        <w:t>单位提供就业辅导，对接就业资源</w:t>
      </w:r>
      <w:r>
        <w:t>。</w:t>
      </w:r>
    </w:p>
    <w:p>
      <w:pPr>
        <w:spacing w:line="560" w:lineRule="exact"/>
        <w:rPr>
          <w:rFonts w:ascii="仿宋" w:hAnsi="仿宋" w:eastAsia="仿宋"/>
          <w:b/>
          <w:bCs/>
          <w:sz w:val="24"/>
        </w:rPr>
      </w:pPr>
      <w:r>
        <w:rPr>
          <w:rFonts w:hint="eastAsia" w:ascii="仿宋" w:hAnsi="仿宋" w:eastAsia="仿宋"/>
          <w:b/>
          <w:bCs/>
          <w:sz w:val="24"/>
        </w:rPr>
        <w:t>2、奖项设置</w:t>
      </w:r>
    </w:p>
    <w:p>
      <w:pPr>
        <w:spacing w:line="560" w:lineRule="exact"/>
        <w:ind w:firstLine="360" w:firstLineChars="150"/>
        <w:rPr>
          <w:rFonts w:ascii="仿宋" w:hAnsi="仿宋" w:eastAsia="仿宋"/>
          <w:sz w:val="24"/>
        </w:rPr>
      </w:pPr>
      <w:r>
        <w:rPr>
          <w:rFonts w:hint="eastAsia" w:ascii="仿宋" w:hAnsi="仿宋" w:eastAsia="仿宋"/>
          <w:sz w:val="24"/>
        </w:rPr>
        <w:t>本科组与高职组分别设置个人奖、团体奖与单项奖。</w:t>
      </w:r>
    </w:p>
    <w:p>
      <w:pPr>
        <w:spacing w:line="560" w:lineRule="exact"/>
        <w:ind w:firstLine="360" w:firstLineChars="150"/>
        <w:rPr>
          <w:rFonts w:ascii="仿宋" w:hAnsi="仿宋" w:eastAsia="仿宋"/>
          <w:sz w:val="24"/>
        </w:rPr>
      </w:pPr>
      <w:r>
        <w:rPr>
          <w:rFonts w:ascii="仿宋" w:hAnsi="仿宋" w:eastAsia="仿宋"/>
          <w:sz w:val="24"/>
        </w:rPr>
        <w:t>1</w:t>
      </w:r>
      <w:r>
        <w:rPr>
          <w:rFonts w:hint="eastAsia" w:ascii="仿宋" w:hAnsi="仿宋" w:eastAsia="仿宋"/>
          <w:sz w:val="24"/>
        </w:rPr>
        <w:t>）个人奖：实务操作与商业策划创新能力分设一等奖、二等奖、三等奖；其中实务操作占参赛总人数的1</w:t>
      </w:r>
      <w:r>
        <w:rPr>
          <w:rFonts w:ascii="仿宋" w:hAnsi="仿宋" w:eastAsia="仿宋"/>
          <w:sz w:val="24"/>
        </w:rPr>
        <w:t>0%</w:t>
      </w:r>
      <w:r>
        <w:rPr>
          <w:rFonts w:hint="eastAsia" w:ascii="仿宋" w:hAnsi="仿宋" w:eastAsia="仿宋"/>
          <w:sz w:val="24"/>
        </w:rPr>
        <w:t>、2</w:t>
      </w:r>
      <w:r>
        <w:rPr>
          <w:rFonts w:ascii="仿宋" w:hAnsi="仿宋" w:eastAsia="仿宋"/>
          <w:sz w:val="24"/>
        </w:rPr>
        <w:t>0</w:t>
      </w:r>
      <w:r>
        <w:rPr>
          <w:rFonts w:hint="eastAsia" w:ascii="仿宋" w:hAnsi="仿宋" w:eastAsia="仿宋"/>
          <w:sz w:val="24"/>
        </w:rPr>
        <w:t>%、3</w:t>
      </w:r>
      <w:r>
        <w:rPr>
          <w:rFonts w:ascii="仿宋" w:hAnsi="仿宋" w:eastAsia="仿宋"/>
          <w:sz w:val="24"/>
        </w:rPr>
        <w:t>0%</w:t>
      </w:r>
      <w:r>
        <w:rPr>
          <w:rFonts w:hint="eastAsia" w:ascii="仿宋" w:hAnsi="仿宋" w:eastAsia="仿宋"/>
          <w:sz w:val="24"/>
        </w:rPr>
        <w:t>；商业策划占参赛总队数的1</w:t>
      </w:r>
      <w:r>
        <w:rPr>
          <w:rFonts w:ascii="仿宋" w:hAnsi="仿宋" w:eastAsia="仿宋"/>
          <w:sz w:val="24"/>
        </w:rPr>
        <w:t>0%</w:t>
      </w:r>
      <w:r>
        <w:rPr>
          <w:rFonts w:hint="eastAsia" w:ascii="仿宋" w:hAnsi="仿宋" w:eastAsia="仿宋"/>
          <w:sz w:val="24"/>
        </w:rPr>
        <w:t>、2</w:t>
      </w:r>
      <w:r>
        <w:rPr>
          <w:rFonts w:ascii="仿宋" w:hAnsi="仿宋" w:eastAsia="仿宋"/>
          <w:sz w:val="24"/>
        </w:rPr>
        <w:t>0%</w:t>
      </w:r>
      <w:r>
        <w:rPr>
          <w:rFonts w:hint="eastAsia" w:ascii="仿宋" w:hAnsi="仿宋" w:eastAsia="仿宋"/>
          <w:sz w:val="24"/>
        </w:rPr>
        <w:t>、3</w:t>
      </w:r>
      <w:r>
        <w:rPr>
          <w:rFonts w:ascii="仿宋" w:hAnsi="仿宋" w:eastAsia="仿宋"/>
          <w:sz w:val="24"/>
        </w:rPr>
        <w:t>0%</w:t>
      </w:r>
      <w:r>
        <w:rPr>
          <w:rFonts w:hint="eastAsia" w:ascii="仿宋" w:hAnsi="仿宋" w:eastAsia="仿宋"/>
          <w:sz w:val="24"/>
        </w:rPr>
        <w:t>；</w:t>
      </w:r>
    </w:p>
    <w:p>
      <w:pPr>
        <w:spacing w:line="560" w:lineRule="exact"/>
        <w:ind w:firstLine="360" w:firstLineChars="150"/>
        <w:rPr>
          <w:rFonts w:ascii="仿宋" w:hAnsi="仿宋" w:eastAsia="仿宋"/>
          <w:sz w:val="24"/>
        </w:rPr>
      </w:pPr>
      <w:r>
        <w:rPr>
          <w:rFonts w:ascii="仿宋" w:hAnsi="仿宋" w:eastAsia="仿宋"/>
          <w:sz w:val="24"/>
        </w:rPr>
        <w:t>2</w:t>
      </w:r>
      <w:r>
        <w:rPr>
          <w:rFonts w:hint="eastAsia" w:ascii="仿宋" w:hAnsi="仿宋" w:eastAsia="仿宋"/>
          <w:sz w:val="24"/>
        </w:rPr>
        <w:t>）团体奖：根据个人参赛总积分确定团体排名，设一等奖、二等奖、三等奖</w:t>
      </w:r>
      <w:r>
        <w:rPr>
          <w:rFonts w:ascii="仿宋" w:hAnsi="仿宋" w:eastAsia="仿宋"/>
          <w:sz w:val="24"/>
        </w:rPr>
        <w:t>。</w:t>
      </w:r>
    </w:p>
    <w:p>
      <w:pPr>
        <w:spacing w:line="560" w:lineRule="exact"/>
        <w:ind w:firstLine="360" w:firstLineChars="150"/>
        <w:rPr>
          <w:rFonts w:ascii="仿宋" w:hAnsi="仿宋" w:eastAsia="仿宋"/>
          <w:sz w:val="24"/>
        </w:rPr>
      </w:pPr>
      <w:r>
        <w:rPr>
          <w:rFonts w:ascii="仿宋" w:hAnsi="仿宋" w:eastAsia="仿宋"/>
          <w:sz w:val="24"/>
        </w:rPr>
        <w:t>3</w:t>
      </w:r>
      <w:r>
        <w:rPr>
          <w:rFonts w:hint="eastAsia" w:ascii="仿宋" w:hAnsi="仿宋" w:eastAsia="仿宋"/>
          <w:sz w:val="24"/>
        </w:rPr>
        <w:t>）单项奖：最佳</w:t>
      </w:r>
      <w:r>
        <w:rPr>
          <w:rFonts w:hint="eastAsia" w:ascii="仿宋" w:hAnsi="仿宋" w:eastAsia="仿宋"/>
          <w:sz w:val="24"/>
          <w:lang w:eastAsia="zh-Hans"/>
        </w:rPr>
        <w:t>商业</w:t>
      </w:r>
      <w:r>
        <w:rPr>
          <w:rFonts w:hint="eastAsia" w:ascii="仿宋" w:hAnsi="仿宋" w:eastAsia="仿宋"/>
          <w:sz w:val="24"/>
        </w:rPr>
        <w:t>创新奖</w:t>
      </w:r>
    </w:p>
    <w:p>
      <w:pPr>
        <w:pStyle w:val="4"/>
        <w:spacing w:line="364" w:lineRule="auto"/>
        <w:ind w:right="531"/>
        <w:jc w:val="both"/>
      </w:pPr>
    </w:p>
    <w:p>
      <w:pPr>
        <w:pStyle w:val="22"/>
        <w:numPr>
          <w:ilvl w:val="0"/>
          <w:numId w:val="0"/>
        </w:numPr>
        <w:adjustRightInd w:val="0"/>
        <w:spacing w:before="156" w:afterLines="0"/>
        <w:ind w:left="399" w:hanging="401" w:hangingChars="175"/>
        <w:rPr>
          <w:b/>
          <w:w w:val="95"/>
        </w:rPr>
      </w:pPr>
      <w:r>
        <w:rPr>
          <w:b/>
          <w:w w:val="95"/>
        </w:rPr>
        <w:t>3</w:t>
      </w:r>
      <w:r>
        <w:rPr>
          <w:rFonts w:hint="eastAsia"/>
          <w:b/>
          <w:w w:val="95"/>
          <w:lang w:eastAsia="zh-Hans"/>
        </w:rPr>
        <w:t>、</w:t>
      </w:r>
      <w:r>
        <w:rPr>
          <w:rFonts w:hint="eastAsia"/>
          <w:b/>
          <w:w w:val="95"/>
        </w:rPr>
        <w:t>证书及奖杯颁发</w:t>
      </w:r>
    </w:p>
    <w:p>
      <w:pPr>
        <w:pStyle w:val="4"/>
        <w:spacing w:line="364" w:lineRule="auto"/>
        <w:ind w:right="531" w:firstLine="360" w:firstLineChars="150"/>
        <w:jc w:val="both"/>
      </w:pPr>
      <w:r>
        <w:rPr>
          <w:lang w:eastAsia="zh-Hans"/>
        </w:rPr>
        <w:t>1</w:t>
      </w:r>
      <w:r>
        <w:rPr>
          <w:rFonts w:hint="eastAsia"/>
          <w:lang w:eastAsia="zh-Hans"/>
        </w:rPr>
        <w:t>）1</w:t>
      </w:r>
      <w:r>
        <w:rPr>
          <w:lang w:eastAsia="zh-Hans"/>
        </w:rPr>
        <w:t>1</w:t>
      </w:r>
      <w:r>
        <w:rPr>
          <w:rFonts w:hint="eastAsia"/>
        </w:rPr>
        <w:t>月2</w:t>
      </w:r>
      <w:r>
        <w:t>3</w:t>
      </w:r>
      <w:r>
        <w:rPr>
          <w:rFonts w:hint="eastAsia"/>
        </w:rPr>
        <w:t>日，比赛结果将在本次大赛官网公布；</w:t>
      </w:r>
    </w:p>
    <w:p>
      <w:pPr>
        <w:pStyle w:val="4"/>
        <w:spacing w:line="364" w:lineRule="auto"/>
        <w:ind w:right="531" w:firstLine="360" w:firstLineChars="150"/>
        <w:jc w:val="both"/>
        <w:rPr>
          <w:lang w:eastAsia="zh-Hans"/>
        </w:rPr>
      </w:pPr>
      <w:r>
        <w:t>2</w:t>
      </w:r>
      <w:r>
        <w:rPr>
          <w:rFonts w:hint="eastAsia"/>
        </w:rPr>
        <w:t>）1</w:t>
      </w:r>
      <w:r>
        <w:t>2</w:t>
      </w:r>
      <w:r>
        <w:rPr>
          <w:rFonts w:hint="eastAsia"/>
        </w:rPr>
        <w:t>月15日前，组委会将陆续联系获奖院校并邮寄获奖证书、奖杯</w:t>
      </w:r>
      <w:r>
        <w:rPr>
          <w:rFonts w:hint="eastAsia"/>
          <w:lang w:eastAsia="zh-Hans"/>
        </w:rPr>
        <w:t>，</w:t>
      </w:r>
      <w:r>
        <w:rPr>
          <w:rFonts w:hint="eastAsia"/>
        </w:rPr>
        <w:t>对获得专项助学金的院校安排助学金打款等事项。</w:t>
      </w:r>
    </w:p>
    <w:p>
      <w:pPr>
        <w:pStyle w:val="12"/>
        <w:spacing w:after="0" w:afterLines="0"/>
        <w:ind w:firstLine="0" w:firstLineChars="0"/>
        <w:rPr>
          <w:bCs/>
        </w:rPr>
      </w:pPr>
    </w:p>
    <w:p>
      <w:pPr>
        <w:pStyle w:val="12"/>
        <w:spacing w:after="0" w:afterLines="0"/>
        <w:ind w:firstLine="0" w:firstLineChars="0"/>
        <w:rPr>
          <w:rFonts w:hint="eastAsia"/>
          <w:bCs/>
        </w:rPr>
      </w:pPr>
      <w:r>
        <w:rPr>
          <w:rFonts w:hint="eastAsia"/>
          <w:bCs/>
        </w:rPr>
        <w:t>注：以上内容最终解释权归赛事组委会</w:t>
      </w:r>
    </w:p>
    <w:sectPr>
      <w:pgSz w:w="11900" w:h="16840"/>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2</w:t>
    </w:r>
    <w:r>
      <w:rPr>
        <w:caps/>
        <w:color w:val="4472C4" w:themeColor="accent1"/>
        <w14:textFill>
          <w14:solidFill>
            <w14:schemeClr w14:val="accent1"/>
          </w14:solidFill>
        </w14:textFill>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仿宋" w:hAnsi="仿宋" w:eastAsia="仿宋"/>
      </w:rPr>
    </w:pPr>
    <w:r>
      <w:rPr>
        <w:rFonts w:hint="eastAsia" w:ascii="仿宋" w:hAnsi="仿宋" w:eastAsia="仿宋"/>
      </w:rPr>
      <w:t>第十二届全国大学生纺织贸易与商业策划创新能力大赛 决赛说明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741EC"/>
    <w:multiLevelType w:val="multilevel"/>
    <w:tmpl w:val="2DD741EC"/>
    <w:lvl w:ilvl="0" w:tentative="0">
      <w:start w:val="1"/>
      <w:numFmt w:val="decimal"/>
      <w:pStyle w:val="22"/>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83C8FD"/>
    <w:multiLevelType w:val="singleLevel"/>
    <w:tmpl w:val="6183C8FD"/>
    <w:lvl w:ilvl="0" w:tentative="0">
      <w:start w:val="3"/>
      <w:numFmt w:val="chineseCounting"/>
      <w:suff w:val="nothing"/>
      <w:lvlText w:val="%1、"/>
      <w:lvlJc w:val="left"/>
    </w:lvl>
  </w:abstractNum>
  <w:abstractNum w:abstractNumId="2">
    <w:nsid w:val="6C902B2A"/>
    <w:multiLevelType w:val="multilevel"/>
    <w:tmpl w:val="6C902B2A"/>
    <w:lvl w:ilvl="0" w:tentative="0">
      <w:start w:val="1"/>
      <w:numFmt w:val="decimal"/>
      <w:pStyle w:val="1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0"/>
    <w:lvlOverride w:ilvl="0">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247CC6"/>
    <w:rsid w:val="0000110D"/>
    <w:rsid w:val="00014F7D"/>
    <w:rsid w:val="00020D24"/>
    <w:rsid w:val="000305C4"/>
    <w:rsid w:val="00045039"/>
    <w:rsid w:val="00053F9A"/>
    <w:rsid w:val="00054415"/>
    <w:rsid w:val="000577FC"/>
    <w:rsid w:val="00070DDA"/>
    <w:rsid w:val="000B2A0B"/>
    <w:rsid w:val="000C48EE"/>
    <w:rsid w:val="000D1FD8"/>
    <w:rsid w:val="00102D93"/>
    <w:rsid w:val="00125FA3"/>
    <w:rsid w:val="00150A44"/>
    <w:rsid w:val="00173F3B"/>
    <w:rsid w:val="00183955"/>
    <w:rsid w:val="001A1C70"/>
    <w:rsid w:val="001D03FB"/>
    <w:rsid w:val="002405F0"/>
    <w:rsid w:val="00247CC6"/>
    <w:rsid w:val="00262C7F"/>
    <w:rsid w:val="00265B0C"/>
    <w:rsid w:val="002D3298"/>
    <w:rsid w:val="002D3CDE"/>
    <w:rsid w:val="002E42BA"/>
    <w:rsid w:val="002F1B38"/>
    <w:rsid w:val="002F6D0D"/>
    <w:rsid w:val="003063C4"/>
    <w:rsid w:val="0033439C"/>
    <w:rsid w:val="003351AD"/>
    <w:rsid w:val="00341CE4"/>
    <w:rsid w:val="003A2DF2"/>
    <w:rsid w:val="003A52DA"/>
    <w:rsid w:val="003B3F6F"/>
    <w:rsid w:val="004128BF"/>
    <w:rsid w:val="00424C12"/>
    <w:rsid w:val="00431A7A"/>
    <w:rsid w:val="004364BD"/>
    <w:rsid w:val="00443478"/>
    <w:rsid w:val="00447BEB"/>
    <w:rsid w:val="0046458C"/>
    <w:rsid w:val="004A0853"/>
    <w:rsid w:val="004A5953"/>
    <w:rsid w:val="004B4F5C"/>
    <w:rsid w:val="004C5BBD"/>
    <w:rsid w:val="004D16AF"/>
    <w:rsid w:val="004E6B38"/>
    <w:rsid w:val="005063DA"/>
    <w:rsid w:val="00514296"/>
    <w:rsid w:val="00520063"/>
    <w:rsid w:val="005400B1"/>
    <w:rsid w:val="005518E8"/>
    <w:rsid w:val="005570CF"/>
    <w:rsid w:val="00557A65"/>
    <w:rsid w:val="00564CD9"/>
    <w:rsid w:val="0056630A"/>
    <w:rsid w:val="005830EC"/>
    <w:rsid w:val="005B3681"/>
    <w:rsid w:val="005C692F"/>
    <w:rsid w:val="005E600A"/>
    <w:rsid w:val="006374B0"/>
    <w:rsid w:val="006B6E07"/>
    <w:rsid w:val="006C0DD5"/>
    <w:rsid w:val="006F1A03"/>
    <w:rsid w:val="006F6F8D"/>
    <w:rsid w:val="007032E6"/>
    <w:rsid w:val="0073639F"/>
    <w:rsid w:val="0074266A"/>
    <w:rsid w:val="007742CF"/>
    <w:rsid w:val="00782D19"/>
    <w:rsid w:val="007875C4"/>
    <w:rsid w:val="007A1117"/>
    <w:rsid w:val="007B7F32"/>
    <w:rsid w:val="007C293C"/>
    <w:rsid w:val="007C3A23"/>
    <w:rsid w:val="007F7034"/>
    <w:rsid w:val="00826BDE"/>
    <w:rsid w:val="00853B91"/>
    <w:rsid w:val="00886831"/>
    <w:rsid w:val="00896A6F"/>
    <w:rsid w:val="008A1211"/>
    <w:rsid w:val="008B603D"/>
    <w:rsid w:val="008C4595"/>
    <w:rsid w:val="008D1690"/>
    <w:rsid w:val="009449C4"/>
    <w:rsid w:val="00960A5A"/>
    <w:rsid w:val="0098086E"/>
    <w:rsid w:val="009A2ED1"/>
    <w:rsid w:val="009A471B"/>
    <w:rsid w:val="009B3415"/>
    <w:rsid w:val="009D1D34"/>
    <w:rsid w:val="009E1D65"/>
    <w:rsid w:val="009F4DD7"/>
    <w:rsid w:val="00A1113C"/>
    <w:rsid w:val="00A25C6B"/>
    <w:rsid w:val="00A34D52"/>
    <w:rsid w:val="00A61BA1"/>
    <w:rsid w:val="00A87642"/>
    <w:rsid w:val="00AB0C45"/>
    <w:rsid w:val="00AE3D98"/>
    <w:rsid w:val="00B367FB"/>
    <w:rsid w:val="00B40CC3"/>
    <w:rsid w:val="00B4473C"/>
    <w:rsid w:val="00B6304D"/>
    <w:rsid w:val="00B642CB"/>
    <w:rsid w:val="00B7182A"/>
    <w:rsid w:val="00B75FE5"/>
    <w:rsid w:val="00BE0762"/>
    <w:rsid w:val="00C25CC9"/>
    <w:rsid w:val="00C5507E"/>
    <w:rsid w:val="00C65A52"/>
    <w:rsid w:val="00C65E13"/>
    <w:rsid w:val="00CA61BC"/>
    <w:rsid w:val="00CA66AF"/>
    <w:rsid w:val="00CC5C49"/>
    <w:rsid w:val="00D07DE1"/>
    <w:rsid w:val="00D40E0F"/>
    <w:rsid w:val="00D504C2"/>
    <w:rsid w:val="00D54631"/>
    <w:rsid w:val="00D86F8C"/>
    <w:rsid w:val="00E030D2"/>
    <w:rsid w:val="00E03F05"/>
    <w:rsid w:val="00E2009F"/>
    <w:rsid w:val="00E24BC6"/>
    <w:rsid w:val="00E25FC4"/>
    <w:rsid w:val="00E86D07"/>
    <w:rsid w:val="00E90620"/>
    <w:rsid w:val="00EA6722"/>
    <w:rsid w:val="00EC016B"/>
    <w:rsid w:val="00EC1741"/>
    <w:rsid w:val="00EC4347"/>
    <w:rsid w:val="00ED0AAE"/>
    <w:rsid w:val="00ED262B"/>
    <w:rsid w:val="00EE02B9"/>
    <w:rsid w:val="00EF036D"/>
    <w:rsid w:val="00EF1A97"/>
    <w:rsid w:val="00F005F8"/>
    <w:rsid w:val="00F0398E"/>
    <w:rsid w:val="00F04C68"/>
    <w:rsid w:val="00F05D3A"/>
    <w:rsid w:val="00F24199"/>
    <w:rsid w:val="00F528A2"/>
    <w:rsid w:val="00F67992"/>
    <w:rsid w:val="00F73B92"/>
    <w:rsid w:val="00F80BEF"/>
    <w:rsid w:val="00F91BED"/>
    <w:rsid w:val="00FA0CC4"/>
    <w:rsid w:val="00FB399F"/>
    <w:rsid w:val="00FB4D70"/>
    <w:rsid w:val="00FE0A7A"/>
    <w:rsid w:val="00FE11C1"/>
    <w:rsid w:val="0F1A028E"/>
    <w:rsid w:val="14A32AD4"/>
    <w:rsid w:val="1610615A"/>
    <w:rsid w:val="3FB1CE2A"/>
    <w:rsid w:val="43413334"/>
    <w:rsid w:val="4EB175C0"/>
    <w:rsid w:val="6402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24"/>
    <w:qFormat/>
    <w:uiPriority w:val="0"/>
    <w:pPr>
      <w:autoSpaceDE w:val="0"/>
      <w:autoSpaceDN w:val="0"/>
      <w:jc w:val="left"/>
    </w:pPr>
    <w:rPr>
      <w:rFonts w:ascii="仿宋" w:hAnsi="仿宋" w:eastAsia="仿宋" w:cs="仿宋"/>
      <w:kern w:val="0"/>
      <w:sz w:val="24"/>
    </w:rPr>
  </w:style>
  <w:style w:type="paragraph" w:styleId="5">
    <w:name w:val="Balloon Text"/>
    <w:basedOn w:val="1"/>
    <w:link w:val="17"/>
    <w:unhideWhenUsed/>
    <w:qFormat/>
    <w:uiPriority w:val="99"/>
    <w:rPr>
      <w:rFonts w:ascii="宋体" w:eastAsia="宋体"/>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空2格 Char"/>
    <w:link w:val="12"/>
    <w:qFormat/>
    <w:uiPriority w:val="0"/>
    <w:rPr>
      <w:rFonts w:ascii="仿宋" w:hAnsi="仿宋" w:eastAsia="仿宋" w:cs="Arial"/>
      <w:sz w:val="24"/>
    </w:rPr>
  </w:style>
  <w:style w:type="paragraph" w:customStyle="1" w:styleId="12">
    <w:name w:val="正文空2格"/>
    <w:basedOn w:val="1"/>
    <w:link w:val="11"/>
    <w:qFormat/>
    <w:uiPriority w:val="0"/>
    <w:pPr>
      <w:snapToGrid w:val="0"/>
      <w:spacing w:before="156" w:beforeLines="50" w:after="156" w:afterLines="50" w:line="360" w:lineRule="auto"/>
      <w:ind w:firstLine="480" w:firstLineChars="200"/>
    </w:pPr>
    <w:rPr>
      <w:rFonts w:ascii="仿宋" w:hAnsi="仿宋" w:eastAsia="仿宋" w:cs="Arial"/>
      <w:sz w:val="24"/>
    </w:rPr>
  </w:style>
  <w:style w:type="character" w:customStyle="1" w:styleId="13">
    <w:name w:val="二级标题 Char"/>
    <w:link w:val="14"/>
    <w:qFormat/>
    <w:uiPriority w:val="0"/>
    <w:rPr>
      <w:rFonts w:ascii="仿宋" w:hAnsi="仿宋" w:eastAsia="仿宋" w:cs="Arial"/>
      <w:b/>
      <w:sz w:val="24"/>
    </w:rPr>
  </w:style>
  <w:style w:type="paragraph" w:customStyle="1" w:styleId="14">
    <w:name w:val="二级标题"/>
    <w:basedOn w:val="1"/>
    <w:link w:val="13"/>
    <w:qFormat/>
    <w:uiPriority w:val="0"/>
    <w:pPr>
      <w:numPr>
        <w:ilvl w:val="0"/>
        <w:numId w:val="1"/>
      </w:numPr>
      <w:snapToGrid w:val="0"/>
      <w:spacing w:before="156" w:beforeLines="50" w:after="156" w:afterLines="50" w:line="360" w:lineRule="auto"/>
    </w:pPr>
    <w:rPr>
      <w:rFonts w:ascii="仿宋" w:hAnsi="仿宋" w:eastAsia="仿宋" w:cs="Arial"/>
      <w:b/>
      <w:sz w:val="24"/>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批注框文本 字符"/>
    <w:basedOn w:val="10"/>
    <w:link w:val="5"/>
    <w:semiHidden/>
    <w:qFormat/>
    <w:uiPriority w:val="99"/>
    <w:rPr>
      <w:rFonts w:ascii="宋体" w:eastAsia="宋体"/>
      <w:sz w:val="18"/>
      <w:szCs w:val="18"/>
    </w:rPr>
  </w:style>
  <w:style w:type="character" w:customStyle="1" w:styleId="18">
    <w:name w:val="标题 1 字符"/>
    <w:basedOn w:val="10"/>
    <w:link w:val="2"/>
    <w:qFormat/>
    <w:uiPriority w:val="9"/>
    <w:rPr>
      <w:rFonts w:ascii="Times New Roman" w:hAnsi="Times New Roman" w:eastAsia="宋体" w:cs="Times New Roman"/>
      <w:b/>
      <w:bCs/>
      <w:kern w:val="44"/>
      <w:sz w:val="44"/>
      <w:szCs w:val="44"/>
    </w:rPr>
  </w:style>
  <w:style w:type="character" w:customStyle="1" w:styleId="19">
    <w:name w:val="标题 2 字符"/>
    <w:basedOn w:val="10"/>
    <w:link w:val="3"/>
    <w:qFormat/>
    <w:uiPriority w:val="9"/>
    <w:rPr>
      <w:rFonts w:asciiTheme="majorHAnsi" w:hAnsiTheme="majorHAnsi" w:eastAsiaTheme="majorEastAsia" w:cstheme="majorBidi"/>
      <w:b/>
      <w:bCs/>
      <w:sz w:val="32"/>
      <w:szCs w:val="32"/>
    </w:rPr>
  </w:style>
  <w:style w:type="paragraph" w:customStyle="1" w:styleId="20">
    <w:name w:val="一级标题"/>
    <w:basedOn w:val="1"/>
    <w:link w:val="21"/>
    <w:qFormat/>
    <w:uiPriority w:val="0"/>
    <w:pPr>
      <w:snapToGrid w:val="0"/>
      <w:spacing w:beforeLines="50" w:afterLines="50" w:line="360" w:lineRule="auto"/>
    </w:pPr>
    <w:rPr>
      <w:rFonts w:ascii="仿宋" w:hAnsi="仿宋" w:eastAsia="仿宋" w:cs="Times New Roman"/>
      <w:b/>
      <w:sz w:val="28"/>
      <w:szCs w:val="28"/>
    </w:rPr>
  </w:style>
  <w:style w:type="character" w:customStyle="1" w:styleId="21">
    <w:name w:val="一级标题 Char"/>
    <w:link w:val="20"/>
    <w:qFormat/>
    <w:uiPriority w:val="0"/>
    <w:rPr>
      <w:rFonts w:ascii="仿宋" w:hAnsi="仿宋" w:eastAsia="仿宋" w:cs="Times New Roman"/>
      <w:b/>
      <w:sz w:val="28"/>
      <w:szCs w:val="28"/>
    </w:rPr>
  </w:style>
  <w:style w:type="paragraph" w:customStyle="1" w:styleId="22">
    <w:name w:val="二级段落"/>
    <w:basedOn w:val="1"/>
    <w:link w:val="23"/>
    <w:qFormat/>
    <w:uiPriority w:val="0"/>
    <w:pPr>
      <w:numPr>
        <w:ilvl w:val="0"/>
        <w:numId w:val="2"/>
      </w:numPr>
      <w:snapToGrid w:val="0"/>
      <w:spacing w:beforeLines="50" w:afterLines="50" w:line="360" w:lineRule="auto"/>
    </w:pPr>
    <w:rPr>
      <w:rFonts w:ascii="仿宋" w:hAnsi="仿宋" w:eastAsia="仿宋" w:cs="Times New Roman"/>
      <w:sz w:val="24"/>
    </w:rPr>
  </w:style>
  <w:style w:type="character" w:customStyle="1" w:styleId="23">
    <w:name w:val="二级段落 Char"/>
    <w:link w:val="22"/>
    <w:qFormat/>
    <w:uiPriority w:val="0"/>
    <w:rPr>
      <w:rFonts w:ascii="仿宋" w:hAnsi="仿宋" w:eastAsia="仿宋" w:cs="Times New Roman"/>
      <w:sz w:val="24"/>
    </w:rPr>
  </w:style>
  <w:style w:type="character" w:customStyle="1" w:styleId="24">
    <w:name w:val="正文文本 字符"/>
    <w:basedOn w:val="10"/>
    <w:link w:val="4"/>
    <w:qFormat/>
    <w:uiPriority w:val="0"/>
    <w:rPr>
      <w:rFonts w:ascii="仿宋" w:hAnsi="仿宋" w:eastAsia="仿宋" w:cs="仿宋"/>
      <w:kern w:val="0"/>
      <w:sz w:val="24"/>
    </w:rPr>
  </w:style>
  <w:style w:type="paragraph" w:customStyle="1" w:styleId="25">
    <w:name w:val="列表段落1"/>
    <w:basedOn w:val="1"/>
    <w:qFormat/>
    <w:uiPriority w:val="1"/>
    <w:pPr>
      <w:autoSpaceDE w:val="0"/>
      <w:autoSpaceDN w:val="0"/>
      <w:ind w:left="638" w:hanging="420"/>
    </w:pPr>
    <w:rPr>
      <w:rFonts w:ascii="仿宋" w:hAnsi="仿宋" w:eastAsia="仿宋" w:cs="仿宋"/>
      <w:kern w:val="0"/>
      <w:sz w:val="22"/>
      <w:szCs w:val="22"/>
    </w:rPr>
  </w:style>
  <w:style w:type="paragraph" w:customStyle="1" w:styleId="26">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1#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192AF52-57D5-4254-BB0B-E205961F5546}" type="doc">
      <dgm:prSet loTypeId="urn:microsoft.com/office/officeart/2005/8/layout/hierarchy6" loCatId="hierarchy" qsTypeId="urn:microsoft.com/office/officeart/2005/8/quickstyle/simple1#1" qsCatId="simple" csTypeId="urn:microsoft.com/office/officeart/2005/8/colors/accent3_1#1" csCatId="accent3" phldr="1"/>
      <dgm:spPr/>
      <dgm:t>
        <a:bodyPr/>
        <a:p>
          <a:endParaRPr lang="zh-CN" altLang="en-US"/>
        </a:p>
      </dgm:t>
    </dgm:pt>
    <dgm:pt modelId="{8324ADE3-1658-4C6D-AE66-D5DE7D6A9D9E}">
      <dgm:prSet phldrT="[文本]" custT="1"/>
      <dgm:spPr>
        <a:xfrm>
          <a:off x="3328663" y="50785"/>
          <a:ext cx="1312123" cy="504397"/>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p>
          <a:pPr algn="ctr">
            <a:buNone/>
          </a:pP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商赛选手第一阶段递交产品介绍视频</a:t>
          </a:r>
          <a:endPar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（群内通知）</a:t>
          </a:r>
          <a:endParaRPr lang="en-US" altLang="zh-CN" sz="900" b="1">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1B1715B6-D1AA-46F4-8EF8-5EDBFD8F41CE}" cxnId="{1E7B7940-6902-4A6A-B16B-A3B36CEF6031}" type="parTrans">
      <dgm:prSet/>
      <dgm:spPr/>
      <dgm:t>
        <a:bodyPr/>
        <a:p>
          <a:pPr algn="ctr"/>
          <a:endParaRPr lang="zh-CN" altLang="en-US" b="1"/>
        </a:p>
      </dgm:t>
    </dgm:pt>
    <dgm:pt modelId="{6FB40723-E791-4E55-9E1A-31A5735DED47}" cxnId="{1E7B7940-6902-4A6A-B16B-A3B36CEF6031}" type="sibTrans">
      <dgm:prSet/>
      <dgm:spPr/>
      <dgm:t>
        <a:bodyPr/>
        <a:p>
          <a:pPr algn="ctr"/>
          <a:endParaRPr lang="zh-CN" altLang="en-US" b="1"/>
        </a:p>
      </dgm:t>
    </dgm:pt>
    <dgm:pt modelId="{EA61CE07-E634-4A85-BB3D-0AD877635276}">
      <dgm:prSet phldrT="[文本]" custT="1"/>
      <dgm:spPr>
        <a:xfrm>
          <a:off x="3339579" y="796443"/>
          <a:ext cx="1290275" cy="476029"/>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p>
          <a:pPr algn="ctr">
            <a:buNone/>
          </a:pP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决赛理论考试</a:t>
          </a:r>
          <a:endPar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9059711E-34F5-4675-8F2B-8F396C280015}" cxnId="{E213C856-F8D7-4161-857A-A17C1C2064FE}" type="parTrans">
      <dgm:prSet/>
      <dgm:spPr>
        <a:xfrm>
          <a:off x="3938997" y="555182"/>
          <a:ext cx="91440" cy="241260"/>
        </a:xfrm>
        <a:noFill/>
        <a:ln w="12700" cap="flat" cmpd="sng" algn="ctr">
          <a:solidFill>
            <a:srgbClr val="A5A5A5">
              <a:shade val="60000"/>
              <a:hueOff val="0"/>
              <a:satOff val="0"/>
              <a:lumOff val="0"/>
              <a:alphaOff val="0"/>
            </a:srgbClr>
          </a:solidFill>
          <a:prstDash val="solid"/>
          <a:miter lim="800000"/>
        </a:ln>
        <a:effectLst/>
      </dgm:spPr>
      <dgm:t>
        <a:bodyPr/>
        <a:p>
          <a:pPr algn="ctr"/>
          <a:endParaRPr lang="zh-CN" altLang="en-US" b="1"/>
        </a:p>
      </dgm:t>
    </dgm:pt>
    <dgm:pt modelId="{7598CE40-F611-4524-8740-DA7CF11F584B}" cxnId="{E213C856-F8D7-4161-857A-A17C1C2064FE}" type="sibTrans">
      <dgm:prSet/>
      <dgm:spPr/>
      <dgm:t>
        <a:bodyPr/>
        <a:p>
          <a:pPr algn="ctr"/>
          <a:endParaRPr lang="zh-CN" altLang="en-US" b="1"/>
        </a:p>
      </dgm:t>
    </dgm:pt>
    <dgm:pt modelId="{56D8E1F7-5561-40DB-8837-0192C3FFE133}">
      <dgm:prSet phldrT="[文本]"/>
      <dgm:spPr>
        <a:xfrm>
          <a:off x="137981" y="-1141"/>
          <a:ext cx="6010537" cy="610959"/>
        </a:xfrm>
        <a:solidFill>
          <a:srgbClr val="A5A5A5">
            <a:tint val="40000"/>
            <a:hueOff val="0"/>
            <a:satOff val="0"/>
            <a:lumOff val="0"/>
            <a:alphaOff val="0"/>
          </a:srgbClr>
        </a:solidFill>
        <a:ln>
          <a:noFill/>
        </a:ln>
        <a:effectLst/>
      </dgm:spPr>
      <dgm:t>
        <a:bodyPr/>
        <a:p>
          <a:pPr algn="ct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12</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9:30-10:30</a:t>
          </a:r>
          <a:endPar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A9ACDD65-62A7-4F19-A720-F2CFA1D9A665}" cxnId="{28459A77-B88E-4B0B-8B63-F84778924577}" type="parTrans">
      <dgm:prSet/>
      <dgm:spPr/>
      <dgm:t>
        <a:bodyPr/>
        <a:p>
          <a:pPr algn="ctr"/>
          <a:endParaRPr lang="zh-CN" altLang="en-US" b="1"/>
        </a:p>
      </dgm:t>
    </dgm:pt>
    <dgm:pt modelId="{15E0B3D9-6CE5-4E82-9BFB-B85B74CFD6D9}" cxnId="{28459A77-B88E-4B0B-8B63-F84778924577}" type="sibTrans">
      <dgm:prSet/>
      <dgm:spPr/>
      <dgm:t>
        <a:bodyPr/>
        <a:p>
          <a:pPr algn="ctr"/>
          <a:endParaRPr lang="zh-CN" altLang="en-US" b="1"/>
        </a:p>
      </dgm:t>
    </dgm:pt>
    <dgm:pt modelId="{A9E1A9FE-1E0D-4F72-A4EC-20DFEF7E2093}">
      <dgm:prSet phldrT="[文本]"/>
      <dgm:spPr>
        <a:xfrm>
          <a:off x="137981" y="713672"/>
          <a:ext cx="6010537" cy="610959"/>
        </a:xfrm>
        <a:solidFill>
          <a:srgbClr val="A5A5A5">
            <a:tint val="40000"/>
            <a:hueOff val="0"/>
            <a:satOff val="0"/>
            <a:lumOff val="0"/>
            <a:alphaOff val="0"/>
          </a:srgbClr>
        </a:solidFill>
        <a:ln>
          <a:noFill/>
        </a:ln>
        <a:effectLst/>
      </dgm:spPr>
      <dgm:t>
        <a:bodyPr/>
        <a:p>
          <a:pPr algn="ct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12</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13:30-15:30</a:t>
          </a:r>
          <a:endPar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5268E743-7DF8-449A-83C1-2F54161AD374}" cxnId="{3E71B456-5BE9-498B-8153-0214BBA96B9D}" type="parTrans">
      <dgm:prSet/>
      <dgm:spPr/>
      <dgm:t>
        <a:bodyPr/>
        <a:p>
          <a:pPr algn="ctr"/>
          <a:endParaRPr lang="zh-CN" altLang="en-US" b="1"/>
        </a:p>
      </dgm:t>
    </dgm:pt>
    <dgm:pt modelId="{CC2A6FF6-A178-4BAB-B7D7-43A975AFE450}" cxnId="{3E71B456-5BE9-498B-8153-0214BBA96B9D}" type="sibTrans">
      <dgm:prSet/>
      <dgm:spPr/>
      <dgm:t>
        <a:bodyPr/>
        <a:p>
          <a:pPr algn="ctr"/>
          <a:endParaRPr lang="zh-CN" altLang="en-US" b="1"/>
        </a:p>
      </dgm:t>
    </dgm:pt>
    <dgm:pt modelId="{C374A248-2780-4418-BDA1-7DA12A09590C}">
      <dgm:prSet phldrT="[文本]"/>
      <dgm:spPr>
        <a:xfrm>
          <a:off x="137981" y="1428485"/>
          <a:ext cx="6010537" cy="610959"/>
        </a:xfrm>
        <a:solidFill>
          <a:srgbClr val="A5A5A5">
            <a:tint val="40000"/>
            <a:hueOff val="0"/>
            <a:satOff val="0"/>
            <a:lumOff val="0"/>
            <a:alphaOff val="0"/>
          </a:srgbClr>
        </a:solidFill>
        <a:ln>
          <a:noFill/>
        </a:ln>
        <a:effectLst/>
      </dgm:spPr>
      <dgm:t>
        <a:bodyPr/>
        <a:p>
          <a:pPr algn="ct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12</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15:45-17:00</a:t>
          </a:r>
          <a:endPar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8242B9A1-8910-4BD9-B4EB-26272641EB24}" cxnId="{06BFA920-C157-46AA-A04C-610950F70B50}" type="parTrans">
      <dgm:prSet/>
      <dgm:spPr/>
      <dgm:t>
        <a:bodyPr/>
        <a:p>
          <a:pPr algn="ctr"/>
          <a:endParaRPr lang="zh-CN" altLang="en-US" b="1"/>
        </a:p>
      </dgm:t>
    </dgm:pt>
    <dgm:pt modelId="{B37AFEE4-C926-407E-9659-78D9A79E13F7}" cxnId="{06BFA920-C157-46AA-A04C-610950F70B50}" type="sibTrans">
      <dgm:prSet/>
      <dgm:spPr/>
      <dgm:t>
        <a:bodyPr/>
        <a:p>
          <a:pPr algn="ctr"/>
          <a:endParaRPr lang="zh-CN" altLang="en-US" b="1"/>
        </a:p>
      </dgm:t>
    </dgm:pt>
    <dgm:pt modelId="{7E87B3B0-7D60-104C-88C7-BCFE4BCF4D15}">
      <dgm:prSet phldrT="[文本]"/>
      <dgm:spPr>
        <a:xfrm>
          <a:off x="137981" y="2858113"/>
          <a:ext cx="6010537" cy="610959"/>
        </a:xfrm>
        <a:solidFill>
          <a:srgbClr val="A5A5A5">
            <a:tint val="40000"/>
            <a:hueOff val="0"/>
            <a:satOff val="0"/>
            <a:lumOff val="0"/>
            <a:alphaOff val="0"/>
          </a:srgbClr>
        </a:solidFill>
        <a:ln>
          <a:noFill/>
        </a:ln>
        <a:effectLst/>
      </dgm:spPr>
      <dgm:t>
        <a:bodyPr/>
        <a:p>
          <a:pPr algn="ct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19</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30E012B8-EBFB-A34D-83BE-C6682707B2AF}" cxnId="{B7E167DF-833A-3D47-9D0E-B946F6FF9264}" type="parTrans">
      <dgm:prSet/>
      <dgm:spPr/>
      <dgm:t>
        <a:bodyPr/>
        <a:p>
          <a:pPr algn="ctr"/>
          <a:endParaRPr lang="zh-CN" altLang="en-US"/>
        </a:p>
      </dgm:t>
    </dgm:pt>
    <dgm:pt modelId="{42067B07-EC68-FC4A-A1C9-DC3DA9669FAF}" cxnId="{B7E167DF-833A-3D47-9D0E-B946F6FF9264}" type="sibTrans">
      <dgm:prSet/>
      <dgm:spPr/>
      <dgm:t>
        <a:bodyPr/>
        <a:p>
          <a:pPr algn="ctr"/>
          <a:endParaRPr lang="zh-CN" altLang="en-US"/>
        </a:p>
      </dgm:t>
    </dgm:pt>
    <dgm:pt modelId="{2CCA98CD-9730-C24A-ABC9-EBB8E67C43A0}">
      <dgm:prSet phldrT="[文本]"/>
      <dgm:spPr>
        <a:xfrm>
          <a:off x="137981" y="2143299"/>
          <a:ext cx="6010537" cy="610959"/>
        </a:xfrm>
        <a:solidFill>
          <a:srgbClr val="A5A5A5">
            <a:tint val="40000"/>
            <a:hueOff val="0"/>
            <a:satOff val="0"/>
            <a:lumOff val="0"/>
            <a:alphaOff val="0"/>
          </a:srgbClr>
        </a:solidFill>
        <a:ln>
          <a:noFill/>
        </a:ln>
        <a:effectLst/>
      </dgm:spPr>
      <dgm:t>
        <a:bodyPr/>
        <a:p>
          <a:pPr algn="ct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10</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21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17:00</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前</a:t>
          </a:r>
        </a:p>
      </dgm:t>
    </dgm:pt>
    <dgm:pt modelId="{8B1BAC66-2765-AF45-AF71-272641E3D307}" cxnId="{F194CEEB-2DEE-B644-AB97-83549A153C01}" type="parTrans">
      <dgm:prSet/>
      <dgm:spPr/>
      <dgm:t>
        <a:bodyPr/>
        <a:p>
          <a:pPr algn="ctr"/>
          <a:endParaRPr lang="zh-CN" altLang="en-US"/>
        </a:p>
      </dgm:t>
    </dgm:pt>
    <dgm:pt modelId="{8124FE18-8217-1B4A-B559-04874370A0AD}" cxnId="{F194CEEB-2DEE-B644-AB97-83549A153C01}" type="sibTrans">
      <dgm:prSet/>
      <dgm:spPr/>
      <dgm:t>
        <a:bodyPr/>
        <a:p>
          <a:pPr algn="ctr"/>
          <a:endParaRPr lang="zh-CN" altLang="en-US"/>
        </a:p>
      </dgm:t>
    </dgm:pt>
    <dgm:pt modelId="{CEF10FC5-CC05-AB41-8F45-BA079618B0AB}">
      <dgm:prSet phldrT="[文本]" custT="1"/>
      <dgm:spPr>
        <a:xfrm>
          <a:off x="3332113" y="1494675"/>
          <a:ext cx="1305222" cy="462938"/>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p>
          <a:pPr algn="ctr">
            <a:buNone/>
          </a:pPr>
          <a:r>
            <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rPr>
            <a:t>3</a:t>
          </a: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名选手实务操作（外贸跟单）</a:t>
          </a:r>
        </a:p>
      </dgm:t>
    </dgm:pt>
    <dgm:pt modelId="{986D2A23-A07E-B848-8337-D04B8382631E}" cxnId="{A415DD73-9534-2441-99A4-23A5C287A51F}" type="parTrans">
      <dgm:prSet/>
      <dgm:spPr>
        <a:xfrm>
          <a:off x="3938997" y="1272472"/>
          <a:ext cx="91440" cy="222202"/>
        </a:xfrm>
        <a:noFill/>
        <a:ln w="12700" cap="flat" cmpd="sng" algn="ctr">
          <a:solidFill>
            <a:srgbClr val="A5A5A5">
              <a:shade val="80000"/>
              <a:hueOff val="0"/>
              <a:satOff val="0"/>
              <a:lumOff val="0"/>
              <a:alphaOff val="0"/>
            </a:srgbClr>
          </a:solidFill>
          <a:prstDash val="solid"/>
          <a:miter lim="800000"/>
        </a:ln>
        <a:effectLst/>
      </dgm:spPr>
      <dgm:t>
        <a:bodyPr/>
        <a:p>
          <a:pPr algn="ctr"/>
          <a:endParaRPr lang="zh-CN" altLang="en-US"/>
        </a:p>
      </dgm:t>
    </dgm:pt>
    <dgm:pt modelId="{D6135D44-7571-FC42-A67A-C51C1C8C24D4}" cxnId="{A415DD73-9534-2441-99A4-23A5C287A51F}" type="sibTrans">
      <dgm:prSet/>
      <dgm:spPr/>
      <dgm:t>
        <a:bodyPr/>
        <a:p>
          <a:pPr algn="ctr"/>
          <a:endParaRPr lang="zh-CN" altLang="en-US"/>
        </a:p>
      </dgm:t>
    </dgm:pt>
    <dgm:pt modelId="{3AA511E9-560E-4145-8EA2-2A06925047FA}">
      <dgm:prSet phldrT="[文本]" custT="1"/>
      <dgm:spPr>
        <a:xfrm>
          <a:off x="3323717" y="2165323"/>
          <a:ext cx="1322016" cy="519274"/>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p>
          <a:pPr algn="ctr">
            <a:buNone/>
          </a:pPr>
          <a:r>
            <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rPr>
            <a:t>3</a:t>
          </a: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名选手实务操作（跨境电商）</a:t>
          </a:r>
        </a:p>
      </dgm:t>
    </dgm:pt>
    <dgm:pt modelId="{15EFC953-0CB1-8542-96CF-D3A6091AC6FD}" cxnId="{1486D7D5-BD82-7B48-B14B-A87738FCBBAD}" type="parTrans">
      <dgm:prSet/>
      <dgm:spPr>
        <a:xfrm>
          <a:off x="3939005" y="1957613"/>
          <a:ext cx="91440" cy="207709"/>
        </a:xfrm>
        <a:noFill/>
        <a:ln w="12700" cap="flat" cmpd="sng" algn="ctr">
          <a:solidFill>
            <a:srgbClr val="A5A5A5">
              <a:shade val="80000"/>
              <a:hueOff val="0"/>
              <a:satOff val="0"/>
              <a:lumOff val="0"/>
              <a:alphaOff val="0"/>
            </a:srgbClr>
          </a:solidFill>
          <a:prstDash val="solid"/>
          <a:miter lim="800000"/>
        </a:ln>
        <a:effectLst/>
      </dgm:spPr>
      <dgm:t>
        <a:bodyPr/>
        <a:p>
          <a:pPr algn="ctr"/>
          <a:endParaRPr lang="zh-CN" altLang="en-US"/>
        </a:p>
      </dgm:t>
    </dgm:pt>
    <dgm:pt modelId="{6AEDCBDB-9406-B346-9CB9-00C88EF4F214}" cxnId="{1486D7D5-BD82-7B48-B14B-A87738FCBBAD}" type="sibTrans">
      <dgm:prSet/>
      <dgm:spPr/>
      <dgm:t>
        <a:bodyPr/>
        <a:p>
          <a:pPr algn="ctr"/>
          <a:endParaRPr lang="zh-CN" altLang="en-US"/>
        </a:p>
      </dgm:t>
    </dgm:pt>
    <dgm:pt modelId="{5B5BC451-6D69-334A-8C7B-8037233A931F}">
      <dgm:prSet phldrT="[文本]" custT="1"/>
      <dgm:spPr>
        <a:xfrm>
          <a:off x="3310658" y="2884300"/>
          <a:ext cx="1348132" cy="519274"/>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p>
          <a:pPr algn="ctr">
            <a:buNone/>
          </a:pP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商赛选手第二阶段（群内通知）</a:t>
          </a:r>
          <a:endPar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5EEBE537-B2DF-5944-BDE1-814256FA7F64}" cxnId="{0AE61885-9B7F-8247-9F65-F4AB580F64AE}" type="parTrans">
      <dgm:prSet/>
      <dgm:spPr>
        <a:xfrm>
          <a:off x="3939005" y="2684598"/>
          <a:ext cx="91440" cy="199702"/>
        </a:xfrm>
        <a:noFill/>
        <a:ln w="12700" cap="flat" cmpd="sng" algn="ctr">
          <a:solidFill>
            <a:srgbClr val="A5A5A5">
              <a:shade val="80000"/>
              <a:hueOff val="0"/>
              <a:satOff val="0"/>
              <a:lumOff val="0"/>
              <a:alphaOff val="0"/>
            </a:srgbClr>
          </a:solidFill>
          <a:prstDash val="solid"/>
          <a:miter lim="800000"/>
        </a:ln>
        <a:effectLst/>
      </dgm:spPr>
      <dgm:t>
        <a:bodyPr/>
        <a:p>
          <a:pPr algn="ctr"/>
          <a:endParaRPr lang="zh-CN" altLang="en-US"/>
        </a:p>
      </dgm:t>
    </dgm:pt>
    <dgm:pt modelId="{455D892B-08E6-A149-B780-F0ACA56DBC5B}" cxnId="{0AE61885-9B7F-8247-9F65-F4AB580F64AE}" type="sibTrans">
      <dgm:prSet/>
      <dgm:spPr/>
      <dgm:t>
        <a:bodyPr/>
        <a:p>
          <a:pPr algn="ctr"/>
          <a:endParaRPr lang="zh-CN" altLang="en-US"/>
        </a:p>
      </dgm:t>
    </dgm:pt>
    <dgm:pt modelId="{B50D039C-5223-464A-A994-BFC6395D819F}">
      <dgm:prSet phldrT="[文本]"/>
      <dgm:spPr>
        <a:xfrm>
          <a:off x="137981" y="2858113"/>
          <a:ext cx="6010537" cy="610959"/>
        </a:xfrm>
        <a:solidFill>
          <a:srgbClr val="A5A5A5">
            <a:tint val="40000"/>
            <a:hueOff val="0"/>
            <a:satOff val="0"/>
            <a:lumOff val="0"/>
            <a:alphaOff val="0"/>
          </a:srgbClr>
        </a:solidFill>
        <a:ln>
          <a:noFill/>
        </a:ln>
        <a:effectLst/>
      </dgm:spPr>
      <dgm:t>
        <a:bodyPr/>
        <a:p>
          <a:pP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23</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13:00-16:00</a:t>
          </a:r>
          <a:endPar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6A6F2E32-F859-4E4F-B7A1-A6FAA71E5898}" cxnId="{7879C8F1-CC70-444F-BB22-7681D04574E0}" type="parTrans">
      <dgm:prSet/>
      <dgm:spPr/>
      <dgm:t>
        <a:bodyPr/>
        <a:p>
          <a:endParaRPr lang="zh-CN" altLang="en-US"/>
        </a:p>
      </dgm:t>
    </dgm:pt>
    <dgm:pt modelId="{775FF59D-3DDD-A84A-B3F0-896F5AB9423F}" cxnId="{7879C8F1-CC70-444F-BB22-7681D04574E0}" type="sibTrans">
      <dgm:prSet/>
      <dgm:spPr/>
      <dgm:t>
        <a:bodyPr/>
        <a:p>
          <a:endParaRPr lang="zh-CN" altLang="en-US"/>
        </a:p>
      </dgm:t>
    </dgm:pt>
    <dgm:pt modelId="{7789E845-7A95-7148-857E-346FC27796D4}">
      <dgm:prSet custT="1"/>
      <dgm:spPr/>
      <dgm:t>
        <a:bodyPr/>
        <a:p>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公布成绩排名</a:t>
          </a:r>
          <a:endPar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A3F91C35-E7BC-674D-9BF7-D877BDB8622F}" cxnId="{20D8A11F-EDC3-A24A-8A06-DB10FCD315B4}" type="parTrans">
      <dgm:prSet/>
      <dgm:spPr/>
      <dgm:t>
        <a:bodyPr/>
        <a:p>
          <a:endParaRPr lang="zh-CN" altLang="en-US"/>
        </a:p>
      </dgm:t>
    </dgm:pt>
    <dgm:pt modelId="{39F30D9C-509E-E949-88C0-6ADEDEA78C98}" cxnId="{20D8A11F-EDC3-A24A-8A06-DB10FCD315B4}" type="sibTrans">
      <dgm:prSet/>
      <dgm:spPr/>
      <dgm:t>
        <a:bodyPr/>
        <a:p>
          <a:endParaRPr lang="zh-CN" altLang="en-US"/>
        </a:p>
      </dgm:t>
    </dgm:pt>
    <dgm:pt modelId="{3D261FE3-E67E-4346-B47B-6CE9688D1C53}" type="pres">
      <dgm:prSet presAssocID="{F192AF52-57D5-4254-BB0B-E205961F5546}" presName="mainComposite" presStyleCnt="0">
        <dgm:presLayoutVars>
          <dgm:chPref val="1"/>
          <dgm:dir/>
          <dgm:animOne val="branch"/>
          <dgm:animLvl val="lvl"/>
          <dgm:resizeHandles val="exact"/>
        </dgm:presLayoutVars>
      </dgm:prSet>
      <dgm:spPr/>
    </dgm:pt>
    <dgm:pt modelId="{CDC49298-1B5E-4A94-A6B8-A3AD92CD0207}" type="pres">
      <dgm:prSet presAssocID="{F192AF52-57D5-4254-BB0B-E205961F5546}" presName="hierFlow" presStyleCnt="0"/>
      <dgm:spPr/>
    </dgm:pt>
    <dgm:pt modelId="{5CBF7A2B-002F-4E3C-845D-17CA63CB7ED1}" type="pres">
      <dgm:prSet presAssocID="{F192AF52-57D5-4254-BB0B-E205961F5546}" presName="firstBuf" presStyleCnt="0"/>
      <dgm:spPr/>
    </dgm:pt>
    <dgm:pt modelId="{70F5B4C7-C04D-4455-A3B0-6A9E18D04616}" type="pres">
      <dgm:prSet presAssocID="{F192AF52-57D5-4254-BB0B-E205961F5546}" presName="hierChild1" presStyleCnt="0">
        <dgm:presLayoutVars>
          <dgm:chPref val="1"/>
          <dgm:animOne val="branch"/>
          <dgm:animLvl val="lvl"/>
        </dgm:presLayoutVars>
      </dgm:prSet>
      <dgm:spPr/>
    </dgm:pt>
    <dgm:pt modelId="{DB81F7F8-BA56-432B-8C9C-235C187E1318}" type="pres">
      <dgm:prSet presAssocID="{8324ADE3-1658-4C6D-AE66-D5DE7D6A9D9E}" presName="Name14" presStyleCnt="0"/>
      <dgm:spPr/>
    </dgm:pt>
    <dgm:pt modelId="{33B6F2BE-98C3-48E5-BF36-601458C0DC52}" type="pres">
      <dgm:prSet presAssocID="{8324ADE3-1658-4C6D-AE66-D5DE7D6A9D9E}" presName="level1Shape" presStyleLbl="node0" presStyleIdx="0" presStyleCnt="1" custScaleX="285506" custScaleY="78989">
        <dgm:presLayoutVars>
          <dgm:chPref val="3"/>
        </dgm:presLayoutVars>
      </dgm:prSet>
      <dgm:spPr>
        <a:prstGeom prst="roundRect">
          <a:avLst>
            <a:gd name="adj" fmla="val 10000"/>
          </a:avLst>
        </a:prstGeom>
      </dgm:spPr>
    </dgm:pt>
    <dgm:pt modelId="{ECEE2B4A-0656-4D9E-829F-A21061A86FFF}" type="pres">
      <dgm:prSet presAssocID="{8324ADE3-1658-4C6D-AE66-D5DE7D6A9D9E}" presName="hierChild2" presStyleCnt="0"/>
      <dgm:spPr/>
    </dgm:pt>
    <dgm:pt modelId="{D49C91B5-DFDA-844A-90C5-A39E7100388A}" type="pres">
      <dgm:prSet presAssocID="{9059711E-34F5-4675-8F2B-8F396C280015}" presName="Name19" presStyleLbl="parChTrans1D2" presStyleIdx="0" presStyleCnt="1"/>
      <dgm:spPr/>
    </dgm:pt>
    <dgm:pt modelId="{49CCFC9C-19B9-AB4A-AA2D-C1464B43A9AE}" type="pres">
      <dgm:prSet presAssocID="{EA61CE07-E634-4A85-BB3D-0AD877635276}" presName="Name21" presStyleCnt="0"/>
      <dgm:spPr/>
    </dgm:pt>
    <dgm:pt modelId="{28EC7900-8EE2-9445-8AB2-FCC5BF9F71BC}" type="pres">
      <dgm:prSet presAssocID="{EA61CE07-E634-4A85-BB3D-0AD877635276}" presName="level2Shape" presStyleLbl="node2" presStyleIdx="0" presStyleCnt="1" custScaleX="287740" custScaleY="71172" custLinFactNeighborY="6798"/>
      <dgm:spPr/>
    </dgm:pt>
    <dgm:pt modelId="{5E3E583E-426D-A843-BD8A-60FA426AA799}" type="pres">
      <dgm:prSet presAssocID="{EA61CE07-E634-4A85-BB3D-0AD877635276}" presName="hierChild3" presStyleCnt="0"/>
      <dgm:spPr/>
    </dgm:pt>
    <dgm:pt modelId="{AE793FB8-B051-E244-BB10-CAD5FCF961B1}" type="pres">
      <dgm:prSet presAssocID="{986D2A23-A07E-B848-8337-D04B8382631E}" presName="Name19" presStyleLbl="parChTrans1D3" presStyleIdx="0" presStyleCnt="1"/>
      <dgm:spPr/>
    </dgm:pt>
    <dgm:pt modelId="{79AAC07E-67C1-4F4A-8607-B5586355ED5C}" type="pres">
      <dgm:prSet presAssocID="{CEF10FC5-CC05-AB41-8F45-BA079618B0AB}" presName="Name21" presStyleCnt="0"/>
      <dgm:spPr/>
    </dgm:pt>
    <dgm:pt modelId="{80ED6261-2582-744D-AB9C-5B12379F406A}" type="pres">
      <dgm:prSet presAssocID="{CEF10FC5-CC05-AB41-8F45-BA079618B0AB}" presName="level2Shape" presStyleLbl="node3" presStyleIdx="0" presStyleCnt="1" custScaleX="299381" custScaleY="75464" custLinFactNeighborY="8883"/>
      <dgm:spPr/>
    </dgm:pt>
    <dgm:pt modelId="{44112E62-1D01-EC4C-8889-900F4B38C8B6}" type="pres">
      <dgm:prSet presAssocID="{CEF10FC5-CC05-AB41-8F45-BA079618B0AB}" presName="hierChild3" presStyleCnt="0"/>
      <dgm:spPr/>
    </dgm:pt>
    <dgm:pt modelId="{ABDCF834-2C61-E741-B1FE-35555AF9941C}" type="pres">
      <dgm:prSet presAssocID="{15EFC953-0CB1-8542-96CF-D3A6091AC6FD}" presName="Name19" presStyleLbl="parChTrans1D4" presStyleIdx="0" presStyleCnt="3"/>
      <dgm:spPr/>
    </dgm:pt>
    <dgm:pt modelId="{27B1AADD-4E8C-0043-924D-17AA15179947}" type="pres">
      <dgm:prSet presAssocID="{3AA511E9-560E-4145-8EA2-2A06925047FA}" presName="Name21" presStyleCnt="0"/>
      <dgm:spPr/>
    </dgm:pt>
    <dgm:pt modelId="{25647984-C139-3F4E-94E4-54886230ECA8}" type="pres">
      <dgm:prSet presAssocID="{3AA511E9-560E-4145-8EA2-2A06925047FA}" presName="level2Shape" presStyleLbl="node4" presStyleIdx="0" presStyleCnt="3" custScaleX="294585" custScaleY="70173" custLinFactNeighborY="24244"/>
      <dgm:spPr/>
    </dgm:pt>
    <dgm:pt modelId="{07FECC9F-5583-B548-9201-BABBFA08B42A}" type="pres">
      <dgm:prSet presAssocID="{3AA511E9-560E-4145-8EA2-2A06925047FA}" presName="hierChild3" presStyleCnt="0"/>
      <dgm:spPr/>
    </dgm:pt>
    <dgm:pt modelId="{15C1183E-84D2-9F4C-B13E-F0FF39CD1532}" type="pres">
      <dgm:prSet presAssocID="{5EEBE537-B2DF-5944-BDE1-814256FA7F64}" presName="Name19" presStyleLbl="parChTrans1D4" presStyleIdx="1" presStyleCnt="3"/>
      <dgm:spPr/>
    </dgm:pt>
    <dgm:pt modelId="{2C2E36D0-5815-6349-918E-5E7F603E5C5F}" type="pres">
      <dgm:prSet presAssocID="{5B5BC451-6D69-334A-8C7B-8037233A931F}" presName="Name21" presStyleCnt="0"/>
      <dgm:spPr/>
    </dgm:pt>
    <dgm:pt modelId="{307FDFCE-FB6C-4B4C-A0C1-426A588C93F6}" type="pres">
      <dgm:prSet presAssocID="{5B5BC451-6D69-334A-8C7B-8037233A931F}" presName="level2Shape" presStyleLbl="node4" presStyleIdx="1" presStyleCnt="3" custScaleX="289344" custScaleY="66029" custLinFactNeighborY="18821"/>
      <dgm:spPr/>
    </dgm:pt>
    <dgm:pt modelId="{C12CE89C-1D40-8940-AC0B-A739C92979E7}" type="pres">
      <dgm:prSet presAssocID="{5B5BC451-6D69-334A-8C7B-8037233A931F}" presName="hierChild3" presStyleCnt="0"/>
      <dgm:spPr/>
    </dgm:pt>
    <dgm:pt modelId="{EA7108E6-640A-B045-8F62-1B14A17711F3}" type="pres">
      <dgm:prSet presAssocID="{A3F91C35-E7BC-674D-9BF7-D877BDB8622F}" presName="Name19" presStyleLbl="parChTrans1D4" presStyleIdx="2" presStyleCnt="3"/>
      <dgm:spPr/>
    </dgm:pt>
    <dgm:pt modelId="{8807C40E-579C-074E-9F68-FA9C91C273DB}" type="pres">
      <dgm:prSet presAssocID="{7789E845-7A95-7148-857E-346FC27796D4}" presName="Name21" presStyleCnt="0"/>
      <dgm:spPr/>
    </dgm:pt>
    <dgm:pt modelId="{2B1A07B9-C60D-DC40-A9D1-B211B3A7D189}" type="pres">
      <dgm:prSet presAssocID="{7789E845-7A95-7148-857E-346FC27796D4}" presName="level2Shape" presStyleLbl="node4" presStyleIdx="2" presStyleCnt="3" custScaleX="288450" custScaleY="87574" custLinFactNeighborY="25008"/>
      <dgm:spPr/>
    </dgm:pt>
    <dgm:pt modelId="{15AD4B0D-3626-A644-9FBE-4E326CA729A9}" type="pres">
      <dgm:prSet presAssocID="{7789E845-7A95-7148-857E-346FC27796D4}" presName="hierChild3" presStyleCnt="0"/>
      <dgm:spPr/>
    </dgm:pt>
    <dgm:pt modelId="{1FC4187F-EF5F-4BF5-BFC8-A753FF67FBDE}" type="pres">
      <dgm:prSet presAssocID="{F192AF52-57D5-4254-BB0B-E205961F5546}" presName="bgShapesFlow" presStyleCnt="0"/>
      <dgm:spPr/>
    </dgm:pt>
    <dgm:pt modelId="{7C952878-43B2-6447-A1D3-19FB985263C7}" type="pres">
      <dgm:prSet presAssocID="{2CCA98CD-9730-C24A-ABC9-EBB8E67C43A0}" presName="rectComp" presStyleCnt="0"/>
      <dgm:spPr/>
    </dgm:pt>
    <dgm:pt modelId="{DC4CB4C4-F813-A445-9635-CFCDD18B076F}" type="pres">
      <dgm:prSet presAssocID="{2CCA98CD-9730-C24A-ABC9-EBB8E67C43A0}" presName="bgRect" presStyleLbl="bgShp" presStyleIdx="0" presStyleCnt="6"/>
      <dgm:spPr>
        <a:prstGeom prst="roundRect">
          <a:avLst>
            <a:gd name="adj" fmla="val 10000"/>
          </a:avLst>
        </a:prstGeom>
      </dgm:spPr>
    </dgm:pt>
    <dgm:pt modelId="{F77DF1A9-658F-3E4A-B51E-258AACE896E5}" type="pres">
      <dgm:prSet presAssocID="{2CCA98CD-9730-C24A-ABC9-EBB8E67C43A0}" presName="bgRectTx" presStyleLbl="bgShp" presStyleIdx="0" presStyleCnt="6">
        <dgm:presLayoutVars>
          <dgm:bulletEnabled val="1"/>
        </dgm:presLayoutVars>
      </dgm:prSet>
      <dgm:spPr/>
    </dgm:pt>
    <dgm:pt modelId="{7BAB7495-F72F-7B47-8448-5B2FC849015E}" type="pres">
      <dgm:prSet presAssocID="{2CCA98CD-9730-C24A-ABC9-EBB8E67C43A0}" presName="spComp" presStyleCnt="0"/>
      <dgm:spPr/>
    </dgm:pt>
    <dgm:pt modelId="{0BD3AF44-5A10-CE47-9272-BE8A1508FEF7}" type="pres">
      <dgm:prSet presAssocID="{2CCA98CD-9730-C24A-ABC9-EBB8E67C43A0}" presName="vSp" presStyleCnt="0"/>
      <dgm:spPr/>
    </dgm:pt>
    <dgm:pt modelId="{CA880D37-EAFD-441C-9F8C-DD3BA53C54AC}" type="pres">
      <dgm:prSet presAssocID="{56D8E1F7-5561-40DB-8837-0192C3FFE133}" presName="rectComp" presStyleCnt="0"/>
      <dgm:spPr/>
    </dgm:pt>
    <dgm:pt modelId="{A2AB0A69-CE09-457C-B175-89D298A4D8EE}" type="pres">
      <dgm:prSet presAssocID="{56D8E1F7-5561-40DB-8837-0192C3FFE133}" presName="bgRect" presStyleLbl="bgShp" presStyleIdx="1" presStyleCnt="6"/>
      <dgm:spPr>
        <a:prstGeom prst="roundRect">
          <a:avLst>
            <a:gd name="adj" fmla="val 10000"/>
          </a:avLst>
        </a:prstGeom>
      </dgm:spPr>
    </dgm:pt>
    <dgm:pt modelId="{1D5E62BF-A1F5-4263-B046-AF6D94DA5B20}" type="pres">
      <dgm:prSet presAssocID="{56D8E1F7-5561-40DB-8837-0192C3FFE133}" presName="bgRectTx" presStyleLbl="bgShp" presStyleIdx="1" presStyleCnt="6">
        <dgm:presLayoutVars>
          <dgm:bulletEnabled val="1"/>
        </dgm:presLayoutVars>
      </dgm:prSet>
      <dgm:spPr/>
    </dgm:pt>
    <dgm:pt modelId="{4D7374CD-3F6C-4B8F-92A2-D67F250CBF15}" type="pres">
      <dgm:prSet presAssocID="{56D8E1F7-5561-40DB-8837-0192C3FFE133}" presName="spComp" presStyleCnt="0"/>
      <dgm:spPr/>
    </dgm:pt>
    <dgm:pt modelId="{199974FC-0B35-4A27-BB69-6687B31A9B3F}" type="pres">
      <dgm:prSet presAssocID="{56D8E1F7-5561-40DB-8837-0192C3FFE133}" presName="vSp" presStyleCnt="0"/>
      <dgm:spPr/>
    </dgm:pt>
    <dgm:pt modelId="{A82B3CFA-B3D7-4350-8E63-876914C6A285}" type="pres">
      <dgm:prSet presAssocID="{A9E1A9FE-1E0D-4F72-A4EC-20DFEF7E2093}" presName="rectComp" presStyleCnt="0"/>
      <dgm:spPr/>
    </dgm:pt>
    <dgm:pt modelId="{CB424CB3-5BAA-4108-A9BF-9F40EF442622}" type="pres">
      <dgm:prSet presAssocID="{A9E1A9FE-1E0D-4F72-A4EC-20DFEF7E2093}" presName="bgRect" presStyleLbl="bgShp" presStyleIdx="2" presStyleCnt="6"/>
      <dgm:spPr>
        <a:prstGeom prst="roundRect">
          <a:avLst>
            <a:gd name="adj" fmla="val 10000"/>
          </a:avLst>
        </a:prstGeom>
      </dgm:spPr>
    </dgm:pt>
    <dgm:pt modelId="{48A7E04A-6E7D-4573-AEAF-1B993F904703}" type="pres">
      <dgm:prSet presAssocID="{A9E1A9FE-1E0D-4F72-A4EC-20DFEF7E2093}" presName="bgRectTx" presStyleLbl="bgShp" presStyleIdx="2" presStyleCnt="6">
        <dgm:presLayoutVars>
          <dgm:bulletEnabled val="1"/>
        </dgm:presLayoutVars>
      </dgm:prSet>
      <dgm:spPr/>
    </dgm:pt>
    <dgm:pt modelId="{D18A0268-C4B0-448F-AA9F-1FEB9AF4BFD6}" type="pres">
      <dgm:prSet presAssocID="{A9E1A9FE-1E0D-4F72-A4EC-20DFEF7E2093}" presName="spComp" presStyleCnt="0"/>
      <dgm:spPr/>
    </dgm:pt>
    <dgm:pt modelId="{84F064DE-C935-4AAC-9FD6-09EE2CB94E54}" type="pres">
      <dgm:prSet presAssocID="{A9E1A9FE-1E0D-4F72-A4EC-20DFEF7E2093}" presName="vSp" presStyleCnt="0"/>
      <dgm:spPr/>
    </dgm:pt>
    <dgm:pt modelId="{55181507-ED88-406A-95C8-9E0426A7DD92}" type="pres">
      <dgm:prSet presAssocID="{C374A248-2780-4418-BDA1-7DA12A09590C}" presName="rectComp" presStyleCnt="0"/>
      <dgm:spPr/>
    </dgm:pt>
    <dgm:pt modelId="{22E7117B-6DE6-4F5D-AC34-2C3EA89FEB1F}" type="pres">
      <dgm:prSet presAssocID="{C374A248-2780-4418-BDA1-7DA12A09590C}" presName="bgRect" presStyleLbl="bgShp" presStyleIdx="3" presStyleCnt="6"/>
      <dgm:spPr>
        <a:prstGeom prst="roundRect">
          <a:avLst>
            <a:gd name="adj" fmla="val 10000"/>
          </a:avLst>
        </a:prstGeom>
      </dgm:spPr>
    </dgm:pt>
    <dgm:pt modelId="{55E5ECA5-8B59-4F65-AFBD-BB6A99BF105A}" type="pres">
      <dgm:prSet presAssocID="{C374A248-2780-4418-BDA1-7DA12A09590C}" presName="bgRectTx" presStyleLbl="bgShp" presStyleIdx="3" presStyleCnt="6">
        <dgm:presLayoutVars>
          <dgm:bulletEnabled val="1"/>
        </dgm:presLayoutVars>
      </dgm:prSet>
      <dgm:spPr/>
    </dgm:pt>
    <dgm:pt modelId="{FD61327C-D950-BD48-9070-93A52919DD56}" type="pres">
      <dgm:prSet presAssocID="{C374A248-2780-4418-BDA1-7DA12A09590C}" presName="spComp" presStyleCnt="0"/>
      <dgm:spPr/>
    </dgm:pt>
    <dgm:pt modelId="{CF8D9A6A-61CA-6F48-8893-1C437905EE09}" type="pres">
      <dgm:prSet presAssocID="{C374A248-2780-4418-BDA1-7DA12A09590C}" presName="vSp" presStyleCnt="0"/>
      <dgm:spPr/>
    </dgm:pt>
    <dgm:pt modelId="{3CFC8EBF-3633-BE4F-8EAD-643160049F83}" type="pres">
      <dgm:prSet presAssocID="{7E87B3B0-7D60-104C-88C7-BCFE4BCF4D15}" presName="rectComp" presStyleCnt="0"/>
      <dgm:spPr/>
    </dgm:pt>
    <dgm:pt modelId="{0A48BBB3-5FDE-1041-BFE7-77F1B5654270}" type="pres">
      <dgm:prSet presAssocID="{7E87B3B0-7D60-104C-88C7-BCFE4BCF4D15}" presName="bgRect" presStyleLbl="bgShp" presStyleIdx="4" presStyleCnt="6"/>
      <dgm:spPr>
        <a:prstGeom prst="roundRect">
          <a:avLst>
            <a:gd name="adj" fmla="val 10000"/>
          </a:avLst>
        </a:prstGeom>
      </dgm:spPr>
    </dgm:pt>
    <dgm:pt modelId="{8739D180-6729-144B-B413-162F772C3C0F}" type="pres">
      <dgm:prSet presAssocID="{7E87B3B0-7D60-104C-88C7-BCFE4BCF4D15}" presName="bgRectTx" presStyleLbl="bgShp" presStyleIdx="4" presStyleCnt="6">
        <dgm:presLayoutVars>
          <dgm:bulletEnabled val="1"/>
        </dgm:presLayoutVars>
      </dgm:prSet>
      <dgm:spPr/>
    </dgm:pt>
    <dgm:pt modelId="{0686FDC5-5059-A948-9AEC-CF75633DB017}" type="pres">
      <dgm:prSet presAssocID="{7E87B3B0-7D60-104C-88C7-BCFE4BCF4D15}" presName="spComp" presStyleCnt="0"/>
      <dgm:spPr/>
    </dgm:pt>
    <dgm:pt modelId="{4E7130E4-DE15-6941-BB5B-624916E6AF11}" type="pres">
      <dgm:prSet presAssocID="{7E87B3B0-7D60-104C-88C7-BCFE4BCF4D15}" presName="vSp" presStyleCnt="0"/>
      <dgm:spPr/>
    </dgm:pt>
    <dgm:pt modelId="{BD3C4732-43F1-244F-B64E-D31FC08E28B2}" type="pres">
      <dgm:prSet presAssocID="{B50D039C-5223-464A-A994-BFC6395D819F}" presName="rectComp" presStyleCnt="0"/>
      <dgm:spPr/>
    </dgm:pt>
    <dgm:pt modelId="{B6D098B6-8223-D148-ABC7-A8C01CA32AA5}" type="pres">
      <dgm:prSet presAssocID="{B50D039C-5223-464A-A994-BFC6395D819F}" presName="bgRect" presStyleLbl="bgShp" presStyleIdx="5" presStyleCnt="6"/>
      <dgm:spPr>
        <a:prstGeom prst="roundRect">
          <a:avLst>
            <a:gd name="adj" fmla="val 10000"/>
          </a:avLst>
        </a:prstGeom>
      </dgm:spPr>
    </dgm:pt>
    <dgm:pt modelId="{960ACA58-C1EC-A647-9DF0-4D63CD446796}" type="pres">
      <dgm:prSet presAssocID="{B50D039C-5223-464A-A994-BFC6395D819F}" presName="bgRectTx" presStyleLbl="bgShp" presStyleIdx="5" presStyleCnt="6">
        <dgm:presLayoutVars>
          <dgm:bulletEnabled val="1"/>
        </dgm:presLayoutVars>
      </dgm:prSet>
      <dgm:spPr/>
    </dgm:pt>
  </dgm:ptLst>
  <dgm:cxnLst>
    <dgm:cxn modelId="{AC5FB005-CBBB-764B-97DA-EF3C7CC5C341}" type="presOf" srcId="{A9E1A9FE-1E0D-4F72-A4EC-20DFEF7E2093}" destId="{CB424CB3-5BAA-4108-A9BF-9F40EF442622}" srcOrd="0" destOrd="0" presId="urn:microsoft.com/office/officeart/2005/8/layout/hierarchy6"/>
    <dgm:cxn modelId="{35A75415-AC6D-784C-B31D-F65D09B8B905}" type="presOf" srcId="{B50D039C-5223-464A-A994-BFC6395D819F}" destId="{960ACA58-C1EC-A647-9DF0-4D63CD446796}" srcOrd="1" destOrd="0" presId="urn:microsoft.com/office/officeart/2005/8/layout/hierarchy6"/>
    <dgm:cxn modelId="{CC1B151B-FF45-5A4D-B05D-C7405367AA48}" type="presOf" srcId="{8324ADE3-1658-4C6D-AE66-D5DE7D6A9D9E}" destId="{33B6F2BE-98C3-48E5-BF36-601458C0DC52}" srcOrd="0" destOrd="0" presId="urn:microsoft.com/office/officeart/2005/8/layout/hierarchy6"/>
    <dgm:cxn modelId="{20D8A11F-EDC3-A24A-8A06-DB10FCD315B4}" srcId="{5B5BC451-6D69-334A-8C7B-8037233A931F}" destId="{7789E845-7A95-7148-857E-346FC27796D4}" srcOrd="0" destOrd="0" parTransId="{A3F91C35-E7BC-674D-9BF7-D877BDB8622F}" sibTransId="{39F30D9C-509E-E949-88C0-6ADEDEA78C98}"/>
    <dgm:cxn modelId="{06BFA920-C157-46AA-A04C-610950F70B50}" srcId="{F192AF52-57D5-4254-BB0B-E205961F5546}" destId="{C374A248-2780-4418-BDA1-7DA12A09590C}" srcOrd="4" destOrd="0" parTransId="{8242B9A1-8910-4BD9-B4EB-26272641EB24}" sibTransId="{B37AFEE4-C926-407E-9659-78D9A79E13F7}"/>
    <dgm:cxn modelId="{9137F12B-60FF-1744-84F8-AE86E235D493}" type="presOf" srcId="{C374A248-2780-4418-BDA1-7DA12A09590C}" destId="{22E7117B-6DE6-4F5D-AC34-2C3EA89FEB1F}" srcOrd="0" destOrd="0" presId="urn:microsoft.com/office/officeart/2005/8/layout/hierarchy6"/>
    <dgm:cxn modelId="{1E7B7940-6902-4A6A-B16B-A3B36CEF6031}" srcId="{F192AF52-57D5-4254-BB0B-E205961F5546}" destId="{8324ADE3-1658-4C6D-AE66-D5DE7D6A9D9E}" srcOrd="0" destOrd="0" parTransId="{1B1715B6-D1AA-46F4-8EF8-5EDBFD8F41CE}" sibTransId="{6FB40723-E791-4E55-9E1A-31A5735DED47}"/>
    <dgm:cxn modelId="{2984E26A-0C43-BC4A-8917-44064B6E4AEB}" type="presOf" srcId="{A9E1A9FE-1E0D-4F72-A4EC-20DFEF7E2093}" destId="{48A7E04A-6E7D-4573-AEAF-1B993F904703}" srcOrd="1" destOrd="0" presId="urn:microsoft.com/office/officeart/2005/8/layout/hierarchy6"/>
    <dgm:cxn modelId="{F6E9FF4A-400A-DF40-8002-09712CEA9801}" type="presOf" srcId="{CEF10FC5-CC05-AB41-8F45-BA079618B0AB}" destId="{80ED6261-2582-744D-AB9C-5B12379F406A}" srcOrd="0" destOrd="0" presId="urn:microsoft.com/office/officeart/2005/8/layout/hierarchy6"/>
    <dgm:cxn modelId="{12242C6E-197A-A944-8F8B-D8C84977D92C}" type="presOf" srcId="{3AA511E9-560E-4145-8EA2-2A06925047FA}" destId="{25647984-C139-3F4E-94E4-54886230ECA8}" srcOrd="0" destOrd="0" presId="urn:microsoft.com/office/officeart/2005/8/layout/hierarchy6"/>
    <dgm:cxn modelId="{D6A19E4E-A350-4E9D-B60B-F5EBA3B5945A}" type="presOf" srcId="{F192AF52-57D5-4254-BB0B-E205961F5546}" destId="{3D261FE3-E67E-4346-B47B-6CE9688D1C53}" srcOrd="0" destOrd="0" presId="urn:microsoft.com/office/officeart/2005/8/layout/hierarchy6"/>
    <dgm:cxn modelId="{F4D2EE51-7669-BC44-8BC1-9A3A49940A1D}" type="presOf" srcId="{7E87B3B0-7D60-104C-88C7-BCFE4BCF4D15}" destId="{8739D180-6729-144B-B413-162F772C3C0F}" srcOrd="1" destOrd="0" presId="urn:microsoft.com/office/officeart/2005/8/layout/hierarchy6"/>
    <dgm:cxn modelId="{A415DD73-9534-2441-99A4-23A5C287A51F}" srcId="{EA61CE07-E634-4A85-BB3D-0AD877635276}" destId="{CEF10FC5-CC05-AB41-8F45-BA079618B0AB}" srcOrd="0" destOrd="0" parTransId="{986D2A23-A07E-B848-8337-D04B8382631E}" sibTransId="{D6135D44-7571-FC42-A67A-C51C1C8C24D4}"/>
    <dgm:cxn modelId="{3E71B456-5BE9-498B-8153-0214BBA96B9D}" srcId="{F192AF52-57D5-4254-BB0B-E205961F5546}" destId="{A9E1A9FE-1E0D-4F72-A4EC-20DFEF7E2093}" srcOrd="3" destOrd="0" parTransId="{5268E743-7DF8-449A-83C1-2F54161AD374}" sibTransId="{CC2A6FF6-A178-4BAB-B7D7-43A975AFE450}"/>
    <dgm:cxn modelId="{E213C856-F8D7-4161-857A-A17C1C2064FE}" srcId="{8324ADE3-1658-4C6D-AE66-D5DE7D6A9D9E}" destId="{EA61CE07-E634-4A85-BB3D-0AD877635276}" srcOrd="0" destOrd="0" parTransId="{9059711E-34F5-4675-8F2B-8F396C280015}" sibTransId="{7598CE40-F611-4524-8740-DA7CF11F584B}"/>
    <dgm:cxn modelId="{B40D4957-4391-CA46-9BBA-5E0D07E7139E}" type="presOf" srcId="{9059711E-34F5-4675-8F2B-8F396C280015}" destId="{D49C91B5-DFDA-844A-90C5-A39E7100388A}" srcOrd="0" destOrd="0" presId="urn:microsoft.com/office/officeart/2005/8/layout/hierarchy6"/>
    <dgm:cxn modelId="{28459A77-B88E-4B0B-8B63-F84778924577}" srcId="{F192AF52-57D5-4254-BB0B-E205961F5546}" destId="{56D8E1F7-5561-40DB-8837-0192C3FFE133}" srcOrd="2" destOrd="0" parTransId="{A9ACDD65-62A7-4F19-A720-F2CFA1D9A665}" sibTransId="{15E0B3D9-6CE5-4E82-9BFB-B85B74CFD6D9}"/>
    <dgm:cxn modelId="{41C2D558-44C4-CE4B-B7B1-2FC22C5F3DA3}" type="presOf" srcId="{B50D039C-5223-464A-A994-BFC6395D819F}" destId="{B6D098B6-8223-D148-ABC7-A8C01CA32AA5}" srcOrd="0" destOrd="0" presId="urn:microsoft.com/office/officeart/2005/8/layout/hierarchy6"/>
    <dgm:cxn modelId="{A8EEC65A-F7C9-B54C-917A-C0667177C829}" type="presOf" srcId="{A3F91C35-E7BC-674D-9BF7-D877BDB8622F}" destId="{EA7108E6-640A-B045-8F62-1B14A17711F3}" srcOrd="0" destOrd="0" presId="urn:microsoft.com/office/officeart/2005/8/layout/hierarchy6"/>
    <dgm:cxn modelId="{F4F8F47C-4C96-B642-BDCB-3369CC48DA66}" type="presOf" srcId="{7E87B3B0-7D60-104C-88C7-BCFE4BCF4D15}" destId="{0A48BBB3-5FDE-1041-BFE7-77F1B5654270}" srcOrd="0" destOrd="0" presId="urn:microsoft.com/office/officeart/2005/8/layout/hierarchy6"/>
    <dgm:cxn modelId="{A1ABFB83-8C58-B64C-BBB3-EAAF6CF75137}" type="presOf" srcId="{15EFC953-0CB1-8542-96CF-D3A6091AC6FD}" destId="{ABDCF834-2C61-E741-B1FE-35555AF9941C}" srcOrd="0" destOrd="0" presId="urn:microsoft.com/office/officeart/2005/8/layout/hierarchy6"/>
    <dgm:cxn modelId="{0AE61885-9B7F-8247-9F65-F4AB580F64AE}" srcId="{3AA511E9-560E-4145-8EA2-2A06925047FA}" destId="{5B5BC451-6D69-334A-8C7B-8037233A931F}" srcOrd="0" destOrd="0" parTransId="{5EEBE537-B2DF-5944-BDE1-814256FA7F64}" sibTransId="{455D892B-08E6-A149-B780-F0ACA56DBC5B}"/>
    <dgm:cxn modelId="{6F982F8F-4938-E04B-A184-56FCACA1DA42}" type="presOf" srcId="{2CCA98CD-9730-C24A-ABC9-EBB8E67C43A0}" destId="{DC4CB4C4-F813-A445-9635-CFCDD18B076F}" srcOrd="0" destOrd="0" presId="urn:microsoft.com/office/officeart/2005/8/layout/hierarchy6"/>
    <dgm:cxn modelId="{D92D2F96-5159-3643-B7AC-87B270B17231}" type="presOf" srcId="{2CCA98CD-9730-C24A-ABC9-EBB8E67C43A0}" destId="{F77DF1A9-658F-3E4A-B51E-258AACE896E5}" srcOrd="1" destOrd="0" presId="urn:microsoft.com/office/officeart/2005/8/layout/hierarchy6"/>
    <dgm:cxn modelId="{B4C62B9C-CA0F-2C4F-B94D-878685E3DDE8}" type="presOf" srcId="{56D8E1F7-5561-40DB-8837-0192C3FFE133}" destId="{1D5E62BF-A1F5-4263-B046-AF6D94DA5B20}" srcOrd="1" destOrd="0" presId="urn:microsoft.com/office/officeart/2005/8/layout/hierarchy6"/>
    <dgm:cxn modelId="{2535E29F-C79A-EA4A-9BD6-E6EBF6041D86}" type="presOf" srcId="{EA61CE07-E634-4A85-BB3D-0AD877635276}" destId="{28EC7900-8EE2-9445-8AB2-FCC5BF9F71BC}" srcOrd="0" destOrd="0" presId="urn:microsoft.com/office/officeart/2005/8/layout/hierarchy6"/>
    <dgm:cxn modelId="{089A75C7-0FC0-D14B-A43D-CC9F334A30A2}" type="presOf" srcId="{7789E845-7A95-7148-857E-346FC27796D4}" destId="{2B1A07B9-C60D-DC40-A9D1-B211B3A7D189}" srcOrd="0" destOrd="0" presId="urn:microsoft.com/office/officeart/2005/8/layout/hierarchy6"/>
    <dgm:cxn modelId="{E96DA9CA-DAC6-5A4F-AAF7-2BD95DECEF63}" type="presOf" srcId="{C374A248-2780-4418-BDA1-7DA12A09590C}" destId="{55E5ECA5-8B59-4F65-AFBD-BB6A99BF105A}" srcOrd="1" destOrd="0" presId="urn:microsoft.com/office/officeart/2005/8/layout/hierarchy6"/>
    <dgm:cxn modelId="{1486D7D5-BD82-7B48-B14B-A87738FCBBAD}" srcId="{CEF10FC5-CC05-AB41-8F45-BA079618B0AB}" destId="{3AA511E9-560E-4145-8EA2-2A06925047FA}" srcOrd="0" destOrd="0" parTransId="{15EFC953-0CB1-8542-96CF-D3A6091AC6FD}" sibTransId="{6AEDCBDB-9406-B346-9CB9-00C88EF4F214}"/>
    <dgm:cxn modelId="{EE1DAED7-48FA-A043-A9D8-B7759A87AE7A}" type="presOf" srcId="{986D2A23-A07E-B848-8337-D04B8382631E}" destId="{AE793FB8-B051-E244-BB10-CAD5FCF961B1}" srcOrd="0" destOrd="0" presId="urn:microsoft.com/office/officeart/2005/8/layout/hierarchy6"/>
    <dgm:cxn modelId="{B78BC9D9-5D5B-7343-B0AE-501C9D23ECCA}" type="presOf" srcId="{5EEBE537-B2DF-5944-BDE1-814256FA7F64}" destId="{15C1183E-84D2-9F4C-B13E-F0FF39CD1532}" srcOrd="0" destOrd="0" presId="urn:microsoft.com/office/officeart/2005/8/layout/hierarchy6"/>
    <dgm:cxn modelId="{5394ABDB-43BB-6242-9729-599ACD7491DB}" type="presOf" srcId="{56D8E1F7-5561-40DB-8837-0192C3FFE133}" destId="{A2AB0A69-CE09-457C-B175-89D298A4D8EE}" srcOrd="0" destOrd="0" presId="urn:microsoft.com/office/officeart/2005/8/layout/hierarchy6"/>
    <dgm:cxn modelId="{841D62DC-8844-034A-9124-E9AF4D9922AC}" type="presOf" srcId="{5B5BC451-6D69-334A-8C7B-8037233A931F}" destId="{307FDFCE-FB6C-4B4C-A0C1-426A588C93F6}" srcOrd="0" destOrd="0" presId="urn:microsoft.com/office/officeart/2005/8/layout/hierarchy6"/>
    <dgm:cxn modelId="{B7E167DF-833A-3D47-9D0E-B946F6FF9264}" srcId="{F192AF52-57D5-4254-BB0B-E205961F5546}" destId="{7E87B3B0-7D60-104C-88C7-BCFE4BCF4D15}" srcOrd="5" destOrd="0" parTransId="{30E012B8-EBFB-A34D-83BE-C6682707B2AF}" sibTransId="{42067B07-EC68-FC4A-A1C9-DC3DA9669FAF}"/>
    <dgm:cxn modelId="{F194CEEB-2DEE-B644-AB97-83549A153C01}" srcId="{F192AF52-57D5-4254-BB0B-E205961F5546}" destId="{2CCA98CD-9730-C24A-ABC9-EBB8E67C43A0}" srcOrd="1" destOrd="0" parTransId="{8B1BAC66-2765-AF45-AF71-272641E3D307}" sibTransId="{8124FE18-8217-1B4A-B559-04874370A0AD}"/>
    <dgm:cxn modelId="{7879C8F1-CC70-444F-BB22-7681D04574E0}" srcId="{F192AF52-57D5-4254-BB0B-E205961F5546}" destId="{B50D039C-5223-464A-A994-BFC6395D819F}" srcOrd="6" destOrd="0" parTransId="{6A6F2E32-F859-4E4F-B7A1-A6FAA71E5898}" sibTransId="{775FF59D-3DDD-A84A-B3F0-896F5AB9423F}"/>
    <dgm:cxn modelId="{8FC12360-1850-8F42-8231-F8191D75D223}" type="presParOf" srcId="{3D261FE3-E67E-4346-B47B-6CE9688D1C53}" destId="{CDC49298-1B5E-4A94-A6B8-A3AD92CD0207}" srcOrd="0" destOrd="0" presId="urn:microsoft.com/office/officeart/2005/8/layout/hierarchy6"/>
    <dgm:cxn modelId="{E90D9178-0F5C-B742-9268-654023C969A0}" type="presParOf" srcId="{CDC49298-1B5E-4A94-A6B8-A3AD92CD0207}" destId="{5CBF7A2B-002F-4E3C-845D-17CA63CB7ED1}" srcOrd="0" destOrd="0" presId="urn:microsoft.com/office/officeart/2005/8/layout/hierarchy6"/>
    <dgm:cxn modelId="{99375CEC-67E9-2844-9D51-020A6DB775D3}" type="presParOf" srcId="{CDC49298-1B5E-4A94-A6B8-A3AD92CD0207}" destId="{70F5B4C7-C04D-4455-A3B0-6A9E18D04616}" srcOrd="1" destOrd="0" presId="urn:microsoft.com/office/officeart/2005/8/layout/hierarchy6"/>
    <dgm:cxn modelId="{D3C5369C-F7A1-0E47-9137-3C9D63A84801}" type="presParOf" srcId="{70F5B4C7-C04D-4455-A3B0-6A9E18D04616}" destId="{DB81F7F8-BA56-432B-8C9C-235C187E1318}" srcOrd="0" destOrd="0" presId="urn:microsoft.com/office/officeart/2005/8/layout/hierarchy6"/>
    <dgm:cxn modelId="{684E1B45-E463-A442-98CE-5A4943DC1291}" type="presParOf" srcId="{DB81F7F8-BA56-432B-8C9C-235C187E1318}" destId="{33B6F2BE-98C3-48E5-BF36-601458C0DC52}" srcOrd="0" destOrd="0" presId="urn:microsoft.com/office/officeart/2005/8/layout/hierarchy6"/>
    <dgm:cxn modelId="{0F982FA9-1506-374C-BEB2-C1F9A9F96A76}" type="presParOf" srcId="{DB81F7F8-BA56-432B-8C9C-235C187E1318}" destId="{ECEE2B4A-0656-4D9E-829F-A21061A86FFF}" srcOrd="1" destOrd="0" presId="urn:microsoft.com/office/officeart/2005/8/layout/hierarchy6"/>
    <dgm:cxn modelId="{68184DF2-7B1C-4143-9914-59B5520D028D}" type="presParOf" srcId="{ECEE2B4A-0656-4D9E-829F-A21061A86FFF}" destId="{D49C91B5-DFDA-844A-90C5-A39E7100388A}" srcOrd="0" destOrd="0" presId="urn:microsoft.com/office/officeart/2005/8/layout/hierarchy6"/>
    <dgm:cxn modelId="{D30D5089-7A56-5D42-94BA-06F41BC0B1DB}" type="presParOf" srcId="{ECEE2B4A-0656-4D9E-829F-A21061A86FFF}" destId="{49CCFC9C-19B9-AB4A-AA2D-C1464B43A9AE}" srcOrd="1" destOrd="0" presId="urn:microsoft.com/office/officeart/2005/8/layout/hierarchy6"/>
    <dgm:cxn modelId="{FF194708-AD07-CA4D-B289-C9DB23516098}" type="presParOf" srcId="{49CCFC9C-19B9-AB4A-AA2D-C1464B43A9AE}" destId="{28EC7900-8EE2-9445-8AB2-FCC5BF9F71BC}" srcOrd="0" destOrd="0" presId="urn:microsoft.com/office/officeart/2005/8/layout/hierarchy6"/>
    <dgm:cxn modelId="{F19AE564-A6CB-6D48-B98C-1E62998E564A}" type="presParOf" srcId="{49CCFC9C-19B9-AB4A-AA2D-C1464B43A9AE}" destId="{5E3E583E-426D-A843-BD8A-60FA426AA799}" srcOrd="1" destOrd="0" presId="urn:microsoft.com/office/officeart/2005/8/layout/hierarchy6"/>
    <dgm:cxn modelId="{2BEC4183-C0FB-E446-82E3-547DBA157510}" type="presParOf" srcId="{5E3E583E-426D-A843-BD8A-60FA426AA799}" destId="{AE793FB8-B051-E244-BB10-CAD5FCF961B1}" srcOrd="0" destOrd="0" presId="urn:microsoft.com/office/officeart/2005/8/layout/hierarchy6"/>
    <dgm:cxn modelId="{61E44C54-C18F-5F4B-AE46-06DB5AE7F1B6}" type="presParOf" srcId="{5E3E583E-426D-A843-BD8A-60FA426AA799}" destId="{79AAC07E-67C1-4F4A-8607-B5586355ED5C}" srcOrd="1" destOrd="0" presId="urn:microsoft.com/office/officeart/2005/8/layout/hierarchy6"/>
    <dgm:cxn modelId="{D1D9E170-8803-1B4C-B311-454F9050169F}" type="presParOf" srcId="{79AAC07E-67C1-4F4A-8607-B5586355ED5C}" destId="{80ED6261-2582-744D-AB9C-5B12379F406A}" srcOrd="0" destOrd="0" presId="urn:microsoft.com/office/officeart/2005/8/layout/hierarchy6"/>
    <dgm:cxn modelId="{3E72BFFF-5AB6-044E-8FAA-70BD2C3959F2}" type="presParOf" srcId="{79AAC07E-67C1-4F4A-8607-B5586355ED5C}" destId="{44112E62-1D01-EC4C-8889-900F4B38C8B6}" srcOrd="1" destOrd="0" presId="urn:microsoft.com/office/officeart/2005/8/layout/hierarchy6"/>
    <dgm:cxn modelId="{0C4EF492-DE61-8F4D-B695-70CED0ADBA75}" type="presParOf" srcId="{44112E62-1D01-EC4C-8889-900F4B38C8B6}" destId="{ABDCF834-2C61-E741-B1FE-35555AF9941C}" srcOrd="0" destOrd="0" presId="urn:microsoft.com/office/officeart/2005/8/layout/hierarchy6"/>
    <dgm:cxn modelId="{58515441-5BAD-8C4B-B2A8-E1B6CE2A9542}" type="presParOf" srcId="{44112E62-1D01-EC4C-8889-900F4B38C8B6}" destId="{27B1AADD-4E8C-0043-924D-17AA15179947}" srcOrd="1" destOrd="0" presId="urn:microsoft.com/office/officeart/2005/8/layout/hierarchy6"/>
    <dgm:cxn modelId="{96E448D5-0423-9D4F-8C02-287519B9D180}" type="presParOf" srcId="{27B1AADD-4E8C-0043-924D-17AA15179947}" destId="{25647984-C139-3F4E-94E4-54886230ECA8}" srcOrd="0" destOrd="0" presId="urn:microsoft.com/office/officeart/2005/8/layout/hierarchy6"/>
    <dgm:cxn modelId="{AB48FAB3-787E-4849-BD70-BCD0F9F036C7}" type="presParOf" srcId="{27B1AADD-4E8C-0043-924D-17AA15179947}" destId="{07FECC9F-5583-B548-9201-BABBFA08B42A}" srcOrd="1" destOrd="0" presId="urn:microsoft.com/office/officeart/2005/8/layout/hierarchy6"/>
    <dgm:cxn modelId="{C8D39E5D-FDA7-9B47-AEBE-36387A15AEE6}" type="presParOf" srcId="{07FECC9F-5583-B548-9201-BABBFA08B42A}" destId="{15C1183E-84D2-9F4C-B13E-F0FF39CD1532}" srcOrd="0" destOrd="0" presId="urn:microsoft.com/office/officeart/2005/8/layout/hierarchy6"/>
    <dgm:cxn modelId="{96268E07-D5E8-AD44-BA59-8C238D8BCF97}" type="presParOf" srcId="{07FECC9F-5583-B548-9201-BABBFA08B42A}" destId="{2C2E36D0-5815-6349-918E-5E7F603E5C5F}" srcOrd="1" destOrd="0" presId="urn:microsoft.com/office/officeart/2005/8/layout/hierarchy6"/>
    <dgm:cxn modelId="{367D232D-3577-1941-A8E7-9A3C95CA6A7A}" type="presParOf" srcId="{2C2E36D0-5815-6349-918E-5E7F603E5C5F}" destId="{307FDFCE-FB6C-4B4C-A0C1-426A588C93F6}" srcOrd="0" destOrd="0" presId="urn:microsoft.com/office/officeart/2005/8/layout/hierarchy6"/>
    <dgm:cxn modelId="{F9187D16-66F4-2F46-BCD9-E7077F6764A5}" type="presParOf" srcId="{2C2E36D0-5815-6349-918E-5E7F603E5C5F}" destId="{C12CE89C-1D40-8940-AC0B-A739C92979E7}" srcOrd="1" destOrd="0" presId="urn:microsoft.com/office/officeart/2005/8/layout/hierarchy6"/>
    <dgm:cxn modelId="{E37E1D49-2A6E-D44A-B187-CC9B1ABCA4FC}" type="presParOf" srcId="{C12CE89C-1D40-8940-AC0B-A739C92979E7}" destId="{EA7108E6-640A-B045-8F62-1B14A17711F3}" srcOrd="0" destOrd="0" presId="urn:microsoft.com/office/officeart/2005/8/layout/hierarchy6"/>
    <dgm:cxn modelId="{08D95C71-EAD8-7743-8289-9F4569F38A7B}" type="presParOf" srcId="{C12CE89C-1D40-8940-AC0B-A739C92979E7}" destId="{8807C40E-579C-074E-9F68-FA9C91C273DB}" srcOrd="1" destOrd="0" presId="urn:microsoft.com/office/officeart/2005/8/layout/hierarchy6"/>
    <dgm:cxn modelId="{B3FAC7D2-056E-874D-A0A2-C4213DDCC834}" type="presParOf" srcId="{8807C40E-579C-074E-9F68-FA9C91C273DB}" destId="{2B1A07B9-C60D-DC40-A9D1-B211B3A7D189}" srcOrd="0" destOrd="0" presId="urn:microsoft.com/office/officeart/2005/8/layout/hierarchy6"/>
    <dgm:cxn modelId="{3901E150-A7FC-1E47-80FC-6472C759AAC9}" type="presParOf" srcId="{8807C40E-579C-074E-9F68-FA9C91C273DB}" destId="{15AD4B0D-3626-A644-9FBE-4E326CA729A9}" srcOrd="1" destOrd="0" presId="urn:microsoft.com/office/officeart/2005/8/layout/hierarchy6"/>
    <dgm:cxn modelId="{1E847E62-58DA-7845-8165-FE3ADE3646D1}" type="presParOf" srcId="{3D261FE3-E67E-4346-B47B-6CE9688D1C53}" destId="{1FC4187F-EF5F-4BF5-BFC8-A753FF67FBDE}" srcOrd="1" destOrd="0" presId="urn:microsoft.com/office/officeart/2005/8/layout/hierarchy6"/>
    <dgm:cxn modelId="{849FB586-6B6D-0945-BDEA-CC643C11812E}" type="presParOf" srcId="{1FC4187F-EF5F-4BF5-BFC8-A753FF67FBDE}" destId="{7C952878-43B2-6447-A1D3-19FB985263C7}" srcOrd="0" destOrd="0" presId="urn:microsoft.com/office/officeart/2005/8/layout/hierarchy6"/>
    <dgm:cxn modelId="{CD56BE24-8C27-D042-B476-25C1FF1BDD5D}" type="presParOf" srcId="{7C952878-43B2-6447-A1D3-19FB985263C7}" destId="{DC4CB4C4-F813-A445-9635-CFCDD18B076F}" srcOrd="0" destOrd="0" presId="urn:microsoft.com/office/officeart/2005/8/layout/hierarchy6"/>
    <dgm:cxn modelId="{143A1B42-9982-0D49-A39E-6D4EA335ADBB}" type="presParOf" srcId="{7C952878-43B2-6447-A1D3-19FB985263C7}" destId="{F77DF1A9-658F-3E4A-B51E-258AACE896E5}" srcOrd="1" destOrd="0" presId="urn:microsoft.com/office/officeart/2005/8/layout/hierarchy6"/>
    <dgm:cxn modelId="{F1709A9B-B1AC-7F4C-BAC1-85BE3CDECB97}" type="presParOf" srcId="{1FC4187F-EF5F-4BF5-BFC8-A753FF67FBDE}" destId="{7BAB7495-F72F-7B47-8448-5B2FC849015E}" srcOrd="1" destOrd="0" presId="urn:microsoft.com/office/officeart/2005/8/layout/hierarchy6"/>
    <dgm:cxn modelId="{D0B09ED2-77CD-864B-B378-670C2523E4D7}" type="presParOf" srcId="{7BAB7495-F72F-7B47-8448-5B2FC849015E}" destId="{0BD3AF44-5A10-CE47-9272-BE8A1508FEF7}" srcOrd="0" destOrd="0" presId="urn:microsoft.com/office/officeart/2005/8/layout/hierarchy6"/>
    <dgm:cxn modelId="{8758E439-3F94-5848-AC7F-6A39DE3C9E9A}" type="presParOf" srcId="{1FC4187F-EF5F-4BF5-BFC8-A753FF67FBDE}" destId="{CA880D37-EAFD-441C-9F8C-DD3BA53C54AC}" srcOrd="2" destOrd="0" presId="urn:microsoft.com/office/officeart/2005/8/layout/hierarchy6"/>
    <dgm:cxn modelId="{7EE54FC6-21CF-824F-B4D2-F76F8433426E}" type="presParOf" srcId="{CA880D37-EAFD-441C-9F8C-DD3BA53C54AC}" destId="{A2AB0A69-CE09-457C-B175-89D298A4D8EE}" srcOrd="0" destOrd="0" presId="urn:microsoft.com/office/officeart/2005/8/layout/hierarchy6"/>
    <dgm:cxn modelId="{7A0DB2D2-0083-384B-B905-87DBF0C3E965}" type="presParOf" srcId="{CA880D37-EAFD-441C-9F8C-DD3BA53C54AC}" destId="{1D5E62BF-A1F5-4263-B046-AF6D94DA5B20}" srcOrd="1" destOrd="0" presId="urn:microsoft.com/office/officeart/2005/8/layout/hierarchy6"/>
    <dgm:cxn modelId="{82000C03-1BEF-164E-A097-3D1EE3165D97}" type="presParOf" srcId="{1FC4187F-EF5F-4BF5-BFC8-A753FF67FBDE}" destId="{4D7374CD-3F6C-4B8F-92A2-D67F250CBF15}" srcOrd="3" destOrd="0" presId="urn:microsoft.com/office/officeart/2005/8/layout/hierarchy6"/>
    <dgm:cxn modelId="{4849B6F7-4546-E746-8599-34D4B242A1DA}" type="presParOf" srcId="{4D7374CD-3F6C-4B8F-92A2-D67F250CBF15}" destId="{199974FC-0B35-4A27-BB69-6687B31A9B3F}" srcOrd="0" destOrd="0" presId="urn:microsoft.com/office/officeart/2005/8/layout/hierarchy6"/>
    <dgm:cxn modelId="{06790C4D-439A-A746-BCC7-51CDEC1AACE7}" type="presParOf" srcId="{1FC4187F-EF5F-4BF5-BFC8-A753FF67FBDE}" destId="{A82B3CFA-B3D7-4350-8E63-876914C6A285}" srcOrd="4" destOrd="0" presId="urn:microsoft.com/office/officeart/2005/8/layout/hierarchy6"/>
    <dgm:cxn modelId="{87D3575F-75FF-2241-B3FB-6EEBD1AC60DF}" type="presParOf" srcId="{A82B3CFA-B3D7-4350-8E63-876914C6A285}" destId="{CB424CB3-5BAA-4108-A9BF-9F40EF442622}" srcOrd="0" destOrd="0" presId="urn:microsoft.com/office/officeart/2005/8/layout/hierarchy6"/>
    <dgm:cxn modelId="{4B34EB82-DB54-E444-9C29-B930D323DDF8}" type="presParOf" srcId="{A82B3CFA-B3D7-4350-8E63-876914C6A285}" destId="{48A7E04A-6E7D-4573-AEAF-1B993F904703}" srcOrd="1" destOrd="0" presId="urn:microsoft.com/office/officeart/2005/8/layout/hierarchy6"/>
    <dgm:cxn modelId="{3C1BB5BB-E6BC-7A4D-99CD-186DF84545D6}" type="presParOf" srcId="{1FC4187F-EF5F-4BF5-BFC8-A753FF67FBDE}" destId="{D18A0268-C4B0-448F-AA9F-1FEB9AF4BFD6}" srcOrd="5" destOrd="0" presId="urn:microsoft.com/office/officeart/2005/8/layout/hierarchy6"/>
    <dgm:cxn modelId="{A175BAC7-88DF-DD42-BA46-3DFD56585ABA}" type="presParOf" srcId="{D18A0268-C4B0-448F-AA9F-1FEB9AF4BFD6}" destId="{84F064DE-C935-4AAC-9FD6-09EE2CB94E54}" srcOrd="0" destOrd="0" presId="urn:microsoft.com/office/officeart/2005/8/layout/hierarchy6"/>
    <dgm:cxn modelId="{9F7A14DC-704E-6B46-A7FA-47469004BA21}" type="presParOf" srcId="{1FC4187F-EF5F-4BF5-BFC8-A753FF67FBDE}" destId="{55181507-ED88-406A-95C8-9E0426A7DD92}" srcOrd="6" destOrd="0" presId="urn:microsoft.com/office/officeart/2005/8/layout/hierarchy6"/>
    <dgm:cxn modelId="{18D51E42-6402-FB4A-9CE4-BBE6C32C40DC}" type="presParOf" srcId="{55181507-ED88-406A-95C8-9E0426A7DD92}" destId="{22E7117B-6DE6-4F5D-AC34-2C3EA89FEB1F}" srcOrd="0" destOrd="0" presId="urn:microsoft.com/office/officeart/2005/8/layout/hierarchy6"/>
    <dgm:cxn modelId="{4B360586-8069-7048-B1E9-D017848161FB}" type="presParOf" srcId="{55181507-ED88-406A-95C8-9E0426A7DD92}" destId="{55E5ECA5-8B59-4F65-AFBD-BB6A99BF105A}" srcOrd="1" destOrd="0" presId="urn:microsoft.com/office/officeart/2005/8/layout/hierarchy6"/>
    <dgm:cxn modelId="{48271DFE-95B5-9748-BE7A-D98830397E1C}" type="presParOf" srcId="{1FC4187F-EF5F-4BF5-BFC8-A753FF67FBDE}" destId="{FD61327C-D950-BD48-9070-93A52919DD56}" srcOrd="7" destOrd="0" presId="urn:microsoft.com/office/officeart/2005/8/layout/hierarchy6"/>
    <dgm:cxn modelId="{C451CA20-02B6-3D4F-A80C-407379B69187}" type="presParOf" srcId="{FD61327C-D950-BD48-9070-93A52919DD56}" destId="{CF8D9A6A-61CA-6F48-8893-1C437905EE09}" srcOrd="0" destOrd="0" presId="urn:microsoft.com/office/officeart/2005/8/layout/hierarchy6"/>
    <dgm:cxn modelId="{9DDC7D08-7DF3-B84E-A32D-466990696CDC}" type="presParOf" srcId="{1FC4187F-EF5F-4BF5-BFC8-A753FF67FBDE}" destId="{3CFC8EBF-3633-BE4F-8EAD-643160049F83}" srcOrd="8" destOrd="0" presId="urn:microsoft.com/office/officeart/2005/8/layout/hierarchy6"/>
    <dgm:cxn modelId="{D04B79AD-7C10-AD40-9292-51DA5117AEAB}" type="presParOf" srcId="{3CFC8EBF-3633-BE4F-8EAD-643160049F83}" destId="{0A48BBB3-5FDE-1041-BFE7-77F1B5654270}" srcOrd="0" destOrd="0" presId="urn:microsoft.com/office/officeart/2005/8/layout/hierarchy6"/>
    <dgm:cxn modelId="{53B32A59-8BEE-5C46-98D5-CCA7F66A610A}" type="presParOf" srcId="{3CFC8EBF-3633-BE4F-8EAD-643160049F83}" destId="{8739D180-6729-144B-B413-162F772C3C0F}" srcOrd="1" destOrd="0" presId="urn:microsoft.com/office/officeart/2005/8/layout/hierarchy6"/>
    <dgm:cxn modelId="{E0686BED-AF47-0245-A2E1-524DD30EE088}" type="presParOf" srcId="{1FC4187F-EF5F-4BF5-BFC8-A753FF67FBDE}" destId="{0686FDC5-5059-A948-9AEC-CF75633DB017}" srcOrd="9" destOrd="0" presId="urn:microsoft.com/office/officeart/2005/8/layout/hierarchy6"/>
    <dgm:cxn modelId="{6C4172D4-6444-C246-AF27-8135C3BE2E76}" type="presParOf" srcId="{0686FDC5-5059-A948-9AEC-CF75633DB017}" destId="{4E7130E4-DE15-6941-BB5B-624916E6AF11}" srcOrd="0" destOrd="0" presId="urn:microsoft.com/office/officeart/2005/8/layout/hierarchy6"/>
    <dgm:cxn modelId="{D9FD6EBD-8931-6B45-A9DC-C4ACF8F44079}" type="presParOf" srcId="{1FC4187F-EF5F-4BF5-BFC8-A753FF67FBDE}" destId="{BD3C4732-43F1-244F-B64E-D31FC08E28B2}" srcOrd="10" destOrd="0" presId="urn:microsoft.com/office/officeart/2005/8/layout/hierarchy6"/>
    <dgm:cxn modelId="{616DAD03-9FBC-9B46-A21D-B675F0BCA34D}" type="presParOf" srcId="{BD3C4732-43F1-244F-B64E-D31FC08E28B2}" destId="{B6D098B6-8223-D148-ABC7-A8C01CA32AA5}" srcOrd="0" destOrd="0" presId="urn:microsoft.com/office/officeart/2005/8/layout/hierarchy6"/>
    <dgm:cxn modelId="{03A2788F-9227-D44C-BFD8-1BA835350ABB}" type="presParOf" srcId="{BD3C4732-43F1-244F-B64E-D31FC08E28B2}" destId="{960ACA58-C1EC-A647-9DF0-4D63CD446796}"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965700" cy="3213100"/>
        <a:chOff x="0" y="0"/>
        <a:chExt cx="4965700" cy="3213100"/>
      </a:xfrm>
    </dsp:grpSpPr>
    <dsp:sp modelId="{DC4CB4C4-F813-A445-9635-CFCDD18B076F}">
      <dsp:nvSpPr>
        <dsp:cNvPr id="14" name="圆角矩形 13"/>
        <dsp:cNvSpPr/>
      </dsp:nvSpPr>
      <dsp:spPr bwMode="white">
        <a:xfrm>
          <a:off x="0" y="32131"/>
          <a:ext cx="4965700" cy="452635"/>
        </a:xfrm>
        <a:prstGeom prst="roundRect">
          <a:avLst>
            <a:gd name="adj" fmla="val 10000"/>
          </a:avLst>
        </a:prstGeom>
        <a:solidFill>
          <a:srgbClr val="A5A5A5">
            <a:tint val="40000"/>
            <a:hueOff val="0"/>
            <a:satOff val="0"/>
            <a:lumOff val="0"/>
            <a:alphaOff val="0"/>
          </a:srgbClr>
        </a:solidFill>
        <a:ln>
          <a:noFill/>
        </a:ln>
        <a:effectLst/>
      </dsp:spPr>
      <dsp:style>
        <a:lnRef idx="0">
          <a:schemeClr val="accent3"/>
        </a:lnRef>
        <a:fillRef idx="1">
          <a:schemeClr val="accent3">
            <a:tint val="40000"/>
          </a:schemeClr>
        </a:fillRef>
        <a:effectRef idx="0">
          <a:scrgbClr r="0" g="0" b="0"/>
        </a:effectRef>
        <a:fontRef idx="minor"/>
      </dsp:style>
      <dsp:txBody>
        <a:bodyPr lIns="56896" tIns="56896" rIns="56896" bIns="56896"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gn="ctr">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10</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21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17:00</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前</a:t>
          </a:r>
          <a:endParaRPr>
            <a:solidFill>
              <a:schemeClr val="dk1"/>
            </a:solidFill>
          </a:endParaRPr>
        </a:p>
      </dsp:txBody>
      <dsp:txXfrm>
        <a:off x="0" y="32131"/>
        <a:ext cx="4965700" cy="452635"/>
      </dsp:txXfrm>
    </dsp:sp>
    <dsp:sp modelId="{A2AB0A69-CE09-457C-B175-89D298A4D8EE}">
      <dsp:nvSpPr>
        <dsp:cNvPr id="15" name="圆角矩形 14"/>
        <dsp:cNvSpPr/>
      </dsp:nvSpPr>
      <dsp:spPr bwMode="white">
        <a:xfrm>
          <a:off x="0" y="560206"/>
          <a:ext cx="4965700" cy="452635"/>
        </a:xfrm>
        <a:prstGeom prst="roundRect">
          <a:avLst>
            <a:gd name="adj" fmla="val 10000"/>
          </a:avLst>
        </a:prstGeom>
        <a:solidFill>
          <a:srgbClr val="A5A5A5">
            <a:tint val="40000"/>
            <a:hueOff val="0"/>
            <a:satOff val="0"/>
            <a:lumOff val="0"/>
            <a:alphaOff val="0"/>
          </a:srgbClr>
        </a:solidFill>
        <a:ln>
          <a:noFill/>
        </a:ln>
        <a:effectLst/>
      </dsp:spPr>
      <dsp:style>
        <a:lnRef idx="0">
          <a:schemeClr val="accent3"/>
        </a:lnRef>
        <a:fillRef idx="1">
          <a:schemeClr val="accent3">
            <a:tint val="40000"/>
          </a:schemeClr>
        </a:fillRef>
        <a:effectRef idx="0">
          <a:scrgbClr r="0" g="0" b="0"/>
        </a:effectRef>
        <a:fontRef idx="minor"/>
      </dsp:style>
      <dsp:txBody>
        <a:bodyPr lIns="56896" tIns="56896" rIns="56896" bIns="56896"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gn="ctr">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12</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9:30-10:30</a:t>
          </a:r>
          <a:endPar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0" y="560206"/>
        <a:ext cx="4965700" cy="452635"/>
      </dsp:txXfrm>
    </dsp:sp>
    <dsp:sp modelId="{CB424CB3-5BAA-4108-A9BF-9F40EF442622}">
      <dsp:nvSpPr>
        <dsp:cNvPr id="16" name="圆角矩形 15"/>
        <dsp:cNvSpPr/>
      </dsp:nvSpPr>
      <dsp:spPr bwMode="white">
        <a:xfrm>
          <a:off x="0" y="1088280"/>
          <a:ext cx="4965700" cy="452635"/>
        </a:xfrm>
        <a:prstGeom prst="roundRect">
          <a:avLst>
            <a:gd name="adj" fmla="val 10000"/>
          </a:avLst>
        </a:prstGeom>
        <a:solidFill>
          <a:srgbClr val="A5A5A5">
            <a:tint val="40000"/>
            <a:hueOff val="0"/>
            <a:satOff val="0"/>
            <a:lumOff val="0"/>
            <a:alphaOff val="0"/>
          </a:srgbClr>
        </a:solidFill>
        <a:ln>
          <a:noFill/>
        </a:ln>
        <a:effectLst/>
      </dsp:spPr>
      <dsp:style>
        <a:lnRef idx="0">
          <a:schemeClr val="accent3"/>
        </a:lnRef>
        <a:fillRef idx="1">
          <a:schemeClr val="accent3">
            <a:tint val="40000"/>
          </a:schemeClr>
        </a:fillRef>
        <a:effectRef idx="0">
          <a:scrgbClr r="0" g="0" b="0"/>
        </a:effectRef>
        <a:fontRef idx="minor"/>
      </dsp:style>
      <dsp:txBody>
        <a:bodyPr lIns="56896" tIns="56896" rIns="56896" bIns="56896"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gn="ctr">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12</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13:30-15:30</a:t>
          </a:r>
          <a:endPar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0" y="1088280"/>
        <a:ext cx="4965700" cy="452635"/>
      </dsp:txXfrm>
    </dsp:sp>
    <dsp:sp modelId="{22E7117B-6DE6-4F5D-AC34-2C3EA89FEB1F}">
      <dsp:nvSpPr>
        <dsp:cNvPr id="17" name="圆角矩形 16"/>
        <dsp:cNvSpPr/>
      </dsp:nvSpPr>
      <dsp:spPr bwMode="white">
        <a:xfrm>
          <a:off x="0" y="1616355"/>
          <a:ext cx="4965700" cy="452635"/>
        </a:xfrm>
        <a:prstGeom prst="roundRect">
          <a:avLst>
            <a:gd name="adj" fmla="val 10000"/>
          </a:avLst>
        </a:prstGeom>
        <a:solidFill>
          <a:srgbClr val="A5A5A5">
            <a:tint val="40000"/>
            <a:hueOff val="0"/>
            <a:satOff val="0"/>
            <a:lumOff val="0"/>
            <a:alphaOff val="0"/>
          </a:srgbClr>
        </a:solidFill>
        <a:ln>
          <a:noFill/>
        </a:ln>
        <a:effectLst/>
      </dsp:spPr>
      <dsp:style>
        <a:lnRef idx="0">
          <a:schemeClr val="accent3"/>
        </a:lnRef>
        <a:fillRef idx="1">
          <a:schemeClr val="accent3">
            <a:tint val="40000"/>
          </a:schemeClr>
        </a:fillRef>
        <a:effectRef idx="0">
          <a:scrgbClr r="0" g="0" b="0"/>
        </a:effectRef>
        <a:fontRef idx="minor"/>
      </dsp:style>
      <dsp:txBody>
        <a:bodyPr lIns="56896" tIns="56896" rIns="56896" bIns="56896"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gn="ctr">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12</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15:45-17:00</a:t>
          </a:r>
          <a:endPar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0" y="1616355"/>
        <a:ext cx="4965700" cy="452635"/>
      </dsp:txXfrm>
    </dsp:sp>
    <dsp:sp modelId="{0A48BBB3-5FDE-1041-BFE7-77F1B5654270}">
      <dsp:nvSpPr>
        <dsp:cNvPr id="18" name="圆角矩形 17"/>
        <dsp:cNvSpPr/>
      </dsp:nvSpPr>
      <dsp:spPr bwMode="white">
        <a:xfrm>
          <a:off x="0" y="2144430"/>
          <a:ext cx="4965700" cy="452635"/>
        </a:xfrm>
        <a:prstGeom prst="roundRect">
          <a:avLst>
            <a:gd name="adj" fmla="val 10000"/>
          </a:avLst>
        </a:prstGeom>
        <a:solidFill>
          <a:srgbClr val="A5A5A5">
            <a:tint val="40000"/>
            <a:hueOff val="0"/>
            <a:satOff val="0"/>
            <a:lumOff val="0"/>
            <a:alphaOff val="0"/>
          </a:srgbClr>
        </a:solidFill>
        <a:ln>
          <a:noFill/>
        </a:ln>
        <a:effectLst/>
      </dsp:spPr>
      <dsp:style>
        <a:lnRef idx="0">
          <a:schemeClr val="accent3"/>
        </a:lnRef>
        <a:fillRef idx="1">
          <a:schemeClr val="accent3">
            <a:tint val="40000"/>
          </a:schemeClr>
        </a:fillRef>
        <a:effectRef idx="0">
          <a:scrgbClr r="0" g="0" b="0"/>
        </a:effectRef>
        <a:fontRef idx="minor"/>
      </dsp:style>
      <dsp:txBody>
        <a:bodyPr lIns="56896" tIns="56896" rIns="56896" bIns="56896"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gn="ctr">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19</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0" y="2144430"/>
        <a:ext cx="4965700" cy="452635"/>
      </dsp:txXfrm>
    </dsp:sp>
    <dsp:sp modelId="{B6D098B6-8223-D148-ABC7-A8C01CA32AA5}">
      <dsp:nvSpPr>
        <dsp:cNvPr id="19" name="圆角矩形 18"/>
        <dsp:cNvSpPr/>
      </dsp:nvSpPr>
      <dsp:spPr bwMode="white">
        <a:xfrm>
          <a:off x="0" y="2672505"/>
          <a:ext cx="4965700" cy="452635"/>
        </a:xfrm>
        <a:prstGeom prst="roundRect">
          <a:avLst>
            <a:gd name="adj" fmla="val 10000"/>
          </a:avLst>
        </a:prstGeom>
        <a:solidFill>
          <a:srgbClr val="A5A5A5">
            <a:tint val="40000"/>
            <a:hueOff val="0"/>
            <a:satOff val="0"/>
            <a:lumOff val="0"/>
            <a:alphaOff val="0"/>
          </a:srgbClr>
        </a:solidFill>
        <a:ln>
          <a:noFill/>
        </a:ln>
        <a:effectLst/>
      </dsp:spPr>
      <dsp:style>
        <a:lnRef idx="0">
          <a:schemeClr val="accent3"/>
        </a:lnRef>
        <a:fillRef idx="1">
          <a:schemeClr val="accent3">
            <a:tint val="40000"/>
          </a:schemeClr>
        </a:fillRef>
        <a:effectRef idx="0">
          <a:scrgbClr r="0" g="0" b="0"/>
        </a:effectRef>
        <a:fontRef idx="minor"/>
      </dsp:style>
      <dsp:txBody>
        <a:bodyPr lIns="56896" tIns="56896" rIns="56896" bIns="56896"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11</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月</a:t>
          </a: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23</a:t>
          </a:r>
          <a:r>
            <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rPr>
            <a:t>日</a:t>
          </a:r>
          <a:endPar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nSpc>
              <a:spcPct val="100000"/>
            </a:lnSpc>
            <a:spcBef>
              <a:spcPct val="0"/>
            </a:spcBef>
            <a:spcAft>
              <a:spcPct val="35000"/>
            </a:spcAft>
            <a:buNone/>
          </a:pPr>
          <a:r>
            <a:rPr lang="en-US" altLang="zh-CN" b="1" dirty="0">
              <a:solidFill>
                <a:sysClr val="windowText" lastClr="000000">
                  <a:hueOff val="0"/>
                  <a:satOff val="0"/>
                  <a:lumOff val="0"/>
                  <a:alphaOff val="0"/>
                </a:sysClr>
              </a:solidFill>
              <a:latin typeface="等线" panose="02010600030101010101" charset="-122"/>
              <a:ea typeface="等线" panose="02010600030101010101" charset="-122"/>
              <a:cs typeface="+mn-cs"/>
            </a:rPr>
            <a:t>13:00-16:00</a:t>
          </a:r>
          <a:endParaRPr lang="zh-CN" altLang="en-US"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0" y="2672505"/>
        <a:ext cx="4965700" cy="452635"/>
      </dsp:txXfrm>
    </dsp:sp>
    <dsp:sp modelId="{33B6F2BE-98C3-48E5-BF36-601458C0DC52}">
      <dsp:nvSpPr>
        <dsp:cNvPr id="3" name="圆角矩形 2"/>
        <dsp:cNvSpPr/>
      </dsp:nvSpPr>
      <dsp:spPr bwMode="white">
        <a:xfrm>
          <a:off x="2155520" y="79884"/>
          <a:ext cx="2045055" cy="377196"/>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hemeClr val="accent3">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商赛选手第一阶段递交产品介绍视频</a:t>
          </a:r>
          <a:endPar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（群内通知）</a:t>
          </a:r>
          <a:endParaRPr lang="en-US" altLang="zh-CN" sz="900" b="1">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2155520" y="79884"/>
        <a:ext cx="2045055" cy="377196"/>
      </dsp:txXfrm>
    </dsp:sp>
    <dsp:sp modelId="{D49C91B5-DFDA-844A-90C5-A39E7100388A}">
      <dsp:nvSpPr>
        <dsp:cNvPr id="4" name="任意多边形 3"/>
        <dsp:cNvSpPr/>
      </dsp:nvSpPr>
      <dsp:spPr bwMode="white">
        <a:xfrm>
          <a:off x="3178048" y="457080"/>
          <a:ext cx="0" cy="223475"/>
        </a:xfrm>
        <a:custGeom>
          <a:avLst/>
          <a:gdLst/>
          <a:ahLst/>
          <a:cxnLst/>
          <a:pathLst>
            <a:path h="352">
              <a:moveTo>
                <a:pt x="0" y="0"/>
              </a:moveTo>
              <a:lnTo>
                <a:pt x="0" y="176"/>
              </a:lnTo>
              <a:lnTo>
                <a:pt x="0" y="176"/>
              </a:lnTo>
              <a:lnTo>
                <a:pt x="0" y="352"/>
              </a:lnTo>
            </a:path>
          </a:pathLst>
        </a:custGeom>
        <a:ln w="12700" cap="flat" cmpd="sng" algn="ctr">
          <a:solidFill>
            <a:srgbClr val="A5A5A5">
              <a:shade val="60000"/>
              <a:hueOff val="0"/>
              <a:satOff val="0"/>
              <a:lumOff val="0"/>
              <a:alphaOff val="0"/>
            </a:srgbClr>
          </a:solidFill>
          <a:prstDash val="solid"/>
          <a:miter lim="800000"/>
        </a:ln>
        <a:effectLst/>
      </dsp:spPr>
      <dsp:style>
        <a:lnRef idx="2">
          <a:schemeClr val="accent3">
            <a:shade val="60000"/>
          </a:schemeClr>
        </a:lnRef>
        <a:fillRef idx="0">
          <a:schemeClr val="accent3"/>
        </a:fillRef>
        <a:effectRef idx="0">
          <a:scrgbClr r="0" g="0" b="0"/>
        </a:effectRef>
        <a:fontRef idx="minor"/>
      </dsp:style>
      <dsp:txXfrm>
        <a:off x="3178048" y="457080"/>
        <a:ext cx="0" cy="223475"/>
      </dsp:txXfrm>
    </dsp:sp>
    <dsp:sp modelId="{28EC7900-8EE2-9445-8AB2-FCC5BF9F71BC}">
      <dsp:nvSpPr>
        <dsp:cNvPr id="5" name="圆角矩形 4"/>
        <dsp:cNvSpPr/>
      </dsp:nvSpPr>
      <dsp:spPr bwMode="white">
        <a:xfrm>
          <a:off x="2147519" y="680555"/>
          <a:ext cx="2061057" cy="339868"/>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hemeClr val="accent3">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决赛理论考试</a:t>
          </a:r>
          <a:endPar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2147519" y="680555"/>
        <a:ext cx="2061057" cy="339868"/>
      </dsp:txXfrm>
    </dsp:sp>
    <dsp:sp modelId="{AE793FB8-B051-E244-BB10-CAD5FCF961B1}">
      <dsp:nvSpPr>
        <dsp:cNvPr id="6" name="任意多边形 5"/>
        <dsp:cNvSpPr/>
      </dsp:nvSpPr>
      <dsp:spPr bwMode="white">
        <a:xfrm>
          <a:off x="3178048" y="1020422"/>
          <a:ext cx="0" cy="200969"/>
        </a:xfrm>
        <a:custGeom>
          <a:avLst/>
          <a:gdLst/>
          <a:ahLst/>
          <a:cxnLst/>
          <a:pathLst>
            <a:path h="316">
              <a:moveTo>
                <a:pt x="0" y="0"/>
              </a:moveTo>
              <a:lnTo>
                <a:pt x="0" y="158"/>
              </a:lnTo>
              <a:lnTo>
                <a:pt x="0" y="158"/>
              </a:lnTo>
              <a:lnTo>
                <a:pt x="0" y="316"/>
              </a:lnTo>
            </a:path>
          </a:pathLst>
        </a:custGeom>
        <a:ln w="12700" cap="flat" cmpd="sng" algn="ctr">
          <a:solidFill>
            <a:srgbClr val="A5A5A5">
              <a:shade val="80000"/>
              <a:hueOff val="0"/>
              <a:satOff val="0"/>
              <a:lumOff val="0"/>
              <a:alphaOff val="0"/>
            </a:srgbClr>
          </a:solidFill>
          <a:prstDash val="solid"/>
          <a:miter lim="800000"/>
        </a:ln>
        <a:effectLst/>
      </dsp:spPr>
      <dsp:style>
        <a:lnRef idx="2">
          <a:schemeClr val="accent3">
            <a:shade val="80000"/>
          </a:schemeClr>
        </a:lnRef>
        <a:fillRef idx="0">
          <a:schemeClr val="accent3"/>
        </a:fillRef>
        <a:effectRef idx="0">
          <a:scrgbClr r="0" g="0" b="0"/>
        </a:effectRef>
        <a:fontRef idx="minor"/>
      </dsp:style>
      <dsp:txXfrm>
        <a:off x="3178048" y="1020422"/>
        <a:ext cx="0" cy="200969"/>
      </dsp:txXfrm>
    </dsp:sp>
    <dsp:sp modelId="{80ED6261-2582-744D-AB9C-5B12379F406A}">
      <dsp:nvSpPr>
        <dsp:cNvPr id="7" name="圆角矩形 6"/>
        <dsp:cNvSpPr/>
      </dsp:nvSpPr>
      <dsp:spPr bwMode="white">
        <a:xfrm>
          <a:off x="2105828" y="1221391"/>
          <a:ext cx="2144441" cy="36036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hemeClr val="accent3">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rPr>
            <a:t>3</a:t>
          </a: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名选手实务操作（外贸跟单）</a:t>
          </a:r>
          <a:endParaRPr>
            <a:solidFill>
              <a:schemeClr val="dk1"/>
            </a:solidFill>
          </a:endParaRPr>
        </a:p>
      </dsp:txBody>
      <dsp:txXfrm>
        <a:off x="2105828" y="1221391"/>
        <a:ext cx="2144441" cy="360363"/>
      </dsp:txXfrm>
    </dsp:sp>
    <dsp:sp modelId="{ABDCF834-2C61-E741-B1FE-35555AF9941C}">
      <dsp:nvSpPr>
        <dsp:cNvPr id="8" name="任意多边形 7"/>
        <dsp:cNvSpPr/>
      </dsp:nvSpPr>
      <dsp:spPr bwMode="white">
        <a:xfrm>
          <a:off x="3178048" y="1581754"/>
          <a:ext cx="0" cy="264365"/>
        </a:xfrm>
        <a:custGeom>
          <a:avLst/>
          <a:gdLst/>
          <a:ahLst/>
          <a:cxnLst/>
          <a:pathLst>
            <a:path h="416">
              <a:moveTo>
                <a:pt x="0" y="0"/>
              </a:moveTo>
              <a:lnTo>
                <a:pt x="0" y="416"/>
              </a:lnTo>
            </a:path>
          </a:pathLst>
        </a:custGeom>
        <a:ln w="12700" cap="flat" cmpd="sng" algn="ctr">
          <a:solidFill>
            <a:srgbClr val="A5A5A5">
              <a:shade val="80000"/>
              <a:hueOff val="0"/>
              <a:satOff val="0"/>
              <a:lumOff val="0"/>
              <a:alphaOff val="0"/>
            </a:srgbClr>
          </a:solidFill>
          <a:prstDash val="solid"/>
          <a:miter lim="800000"/>
        </a:ln>
        <a:effectLst/>
      </dsp:spPr>
      <dsp:style>
        <a:lnRef idx="2">
          <a:schemeClr val="accent3">
            <a:shade val="80000"/>
          </a:schemeClr>
        </a:lnRef>
        <a:fillRef idx="0">
          <a:schemeClr val="accent3"/>
        </a:fillRef>
        <a:effectRef idx="0">
          <a:scrgbClr r="0" g="0" b="0"/>
        </a:effectRef>
        <a:fontRef idx="minor"/>
      </dsp:style>
      <dsp:txXfrm>
        <a:off x="3178048" y="1581754"/>
        <a:ext cx="0" cy="264365"/>
      </dsp:txXfrm>
    </dsp:sp>
    <dsp:sp modelId="{25647984-C139-3F4E-94E4-54886230ECA8}">
      <dsp:nvSpPr>
        <dsp:cNvPr id="9" name="圆角矩形 8"/>
        <dsp:cNvSpPr/>
      </dsp:nvSpPr>
      <dsp:spPr bwMode="white">
        <a:xfrm>
          <a:off x="2123004" y="1846120"/>
          <a:ext cx="2110087" cy="3350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hemeClr val="accent3">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rPr>
            <a:t>3</a:t>
          </a: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名选手实务操作（跨境电商）</a:t>
          </a:r>
          <a:endParaRPr>
            <a:solidFill>
              <a:schemeClr val="dk1"/>
            </a:solidFill>
          </a:endParaRPr>
        </a:p>
      </dsp:txBody>
      <dsp:txXfrm>
        <a:off x="2123004" y="1846120"/>
        <a:ext cx="2110087" cy="335097"/>
      </dsp:txXfrm>
    </dsp:sp>
    <dsp:sp modelId="{15C1183E-84D2-9F4C-B13E-F0FF39CD1532}">
      <dsp:nvSpPr>
        <dsp:cNvPr id="10" name="任意多边形 9"/>
        <dsp:cNvSpPr/>
      </dsp:nvSpPr>
      <dsp:spPr bwMode="white">
        <a:xfrm>
          <a:off x="3178048" y="2181217"/>
          <a:ext cx="0" cy="165116"/>
        </a:xfrm>
        <a:custGeom>
          <a:avLst/>
          <a:gdLst/>
          <a:ahLst/>
          <a:cxnLst/>
          <a:pathLst>
            <a:path h="260">
              <a:moveTo>
                <a:pt x="0" y="0"/>
              </a:moveTo>
              <a:lnTo>
                <a:pt x="0" y="130"/>
              </a:lnTo>
              <a:lnTo>
                <a:pt x="0" y="130"/>
              </a:lnTo>
              <a:lnTo>
                <a:pt x="0" y="260"/>
              </a:lnTo>
            </a:path>
          </a:pathLst>
        </a:custGeom>
        <a:ln w="12700" cap="flat" cmpd="sng" algn="ctr">
          <a:solidFill>
            <a:srgbClr val="A5A5A5">
              <a:shade val="80000"/>
              <a:hueOff val="0"/>
              <a:satOff val="0"/>
              <a:lumOff val="0"/>
              <a:alphaOff val="0"/>
            </a:srgbClr>
          </a:solidFill>
          <a:prstDash val="solid"/>
          <a:miter lim="800000"/>
        </a:ln>
        <a:effectLst/>
      </dsp:spPr>
      <dsp:style>
        <a:lnRef idx="2">
          <a:schemeClr val="accent3">
            <a:shade val="80000"/>
          </a:schemeClr>
        </a:lnRef>
        <a:fillRef idx="0">
          <a:schemeClr val="accent3"/>
        </a:fillRef>
        <a:effectRef idx="0">
          <a:scrgbClr r="0" g="0" b="0"/>
        </a:effectRef>
        <a:fontRef idx="minor"/>
      </dsp:style>
      <dsp:txXfrm>
        <a:off x="3178048" y="2181217"/>
        <a:ext cx="0" cy="165116"/>
      </dsp:txXfrm>
    </dsp:sp>
    <dsp:sp modelId="{307FDFCE-FB6C-4B4C-A0C1-426A588C93F6}">
      <dsp:nvSpPr>
        <dsp:cNvPr id="11" name="圆角矩形 10"/>
        <dsp:cNvSpPr/>
      </dsp:nvSpPr>
      <dsp:spPr bwMode="white">
        <a:xfrm>
          <a:off x="2141775" y="2346332"/>
          <a:ext cx="2072547" cy="315308"/>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hemeClr val="accent3">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商赛选手第二阶段（群内通知）</a:t>
          </a:r>
          <a:endPar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2141775" y="2346332"/>
        <a:ext cx="2072547" cy="315308"/>
      </dsp:txXfrm>
    </dsp:sp>
    <dsp:sp modelId="{EA7108E6-640A-B045-8F62-1B14A17711F3}">
      <dsp:nvSpPr>
        <dsp:cNvPr id="12" name="任意多边形 11"/>
        <dsp:cNvSpPr/>
      </dsp:nvSpPr>
      <dsp:spPr bwMode="white">
        <a:xfrm>
          <a:off x="3178048" y="2661641"/>
          <a:ext cx="0" cy="133267"/>
        </a:xfrm>
        <a:custGeom>
          <a:avLst/>
          <a:gdLst/>
          <a:ahLst/>
          <a:cxnLst/>
          <a:pathLst>
            <a:path h="210">
              <a:moveTo>
                <a:pt x="0" y="0"/>
              </a:moveTo>
              <a:lnTo>
                <a:pt x="0" y="105"/>
              </a:lnTo>
              <a:lnTo>
                <a:pt x="0" y="105"/>
              </a:lnTo>
              <a:lnTo>
                <a:pt x="0" y="210"/>
              </a:lnTo>
            </a:path>
          </a:pathLst>
        </a:custGeom>
      </dsp:spPr>
      <dsp:style>
        <a:lnRef idx="2">
          <a:schemeClr val="accent3">
            <a:shade val="80000"/>
          </a:schemeClr>
        </a:lnRef>
        <a:fillRef idx="0">
          <a:schemeClr val="accent3"/>
        </a:fillRef>
        <a:effectRef idx="0">
          <a:scrgbClr r="0" g="0" b="0"/>
        </a:effectRef>
        <a:fontRef idx="minor"/>
      </dsp:style>
      <dsp:txXfrm>
        <a:off x="3178048" y="2661641"/>
        <a:ext cx="0" cy="133267"/>
      </dsp:txXfrm>
    </dsp:sp>
    <dsp:sp modelId="{2B1A07B9-C60D-DC40-A9D1-B211B3A7D189}">
      <dsp:nvSpPr>
        <dsp:cNvPr id="13" name="圆角矩形 12"/>
        <dsp:cNvSpPr/>
      </dsp:nvSpPr>
      <dsp:spPr bwMode="white">
        <a:xfrm>
          <a:off x="2144977" y="2794908"/>
          <a:ext cx="2066143" cy="418192"/>
        </a:xfrm>
        <a:prstGeom prst="roundRect">
          <a:avLst>
            <a:gd name="adj" fmla="val 10000"/>
          </a:avLst>
        </a:prstGeom>
      </dsp:spPr>
      <dsp:style>
        <a:lnRef idx="2">
          <a:schemeClr val="accent3">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900" b="1" dirty="0">
              <a:solidFill>
                <a:sysClr val="windowText" lastClr="000000">
                  <a:hueOff val="0"/>
                  <a:satOff val="0"/>
                  <a:lumOff val="0"/>
                  <a:alphaOff val="0"/>
                </a:sysClr>
              </a:solidFill>
              <a:latin typeface="等线" panose="02010600030101010101" charset="-122"/>
              <a:ea typeface="等线" panose="02010600030101010101" charset="-122"/>
              <a:cs typeface="+mn-cs"/>
            </a:rPr>
            <a:t>公布成绩排名</a:t>
          </a:r>
          <a:endParaRPr lang="en-US" altLang="zh-CN" sz="900" b="1" dirty="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2144977" y="2794908"/>
        <a:ext cx="2066143" cy="4181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445</Words>
  <Characters>2540</Characters>
  <Lines>21</Lines>
  <Paragraphs>5</Paragraphs>
  <TotalTime>1</TotalTime>
  <ScaleCrop>false</ScaleCrop>
  <LinksUpToDate>false</LinksUpToDate>
  <CharactersWithSpaces>2980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2022-09-21T05:35:00Z</dcterms:created>
  <dc:creator>Microsoft Office User</dc:creator>
  <cp:lastModifiedBy>不存在</cp:lastModifiedBy>
  <cp:lastPrinted>2021-10-13T16:46:00Z</cp:lastPrinted>
  <dcterms:modified xsi:type="dcterms:W3CDTF">2022-10-10T07:12:44Z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ED3CFD186AB04588A43578DC7C19948B</vt:lpwstr>
  </property>
</Properties>
</file>